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ind w:left="681" w:right="1110" w:firstLine="242"/>
        <w:spacing w:before="118" w:line="3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6"/>
          <w:szCs w:val="36"/>
          <w:spacing w:val="-3"/>
        </w:rPr>
        <w:t>泾县政协办</w:t>
      </w:r>
      <w:r>
        <w:rPr>
          <w:rFonts w:ascii="SimSun" w:hAnsi="SimSun" w:eastAsia="SimSun" w:cs="SimSun"/>
          <w:sz w:val="36"/>
          <w:szCs w:val="36"/>
          <w:spacing w:val="27"/>
        </w:rPr>
        <w:t> </w:t>
      </w:r>
      <w:r>
        <w:rPr>
          <w:rFonts w:ascii="SimSun" w:hAnsi="SimSun" w:eastAsia="SimSun" w:cs="SimSun"/>
          <w:sz w:val="36"/>
          <w:szCs w:val="36"/>
          <w:spacing w:val="-3"/>
        </w:rPr>
        <w:t>2022</w:t>
      </w:r>
      <w:r>
        <w:rPr>
          <w:rFonts w:ascii="SimSun" w:hAnsi="SimSun" w:eastAsia="SimSun" w:cs="SimSun"/>
          <w:sz w:val="36"/>
          <w:szCs w:val="36"/>
          <w:spacing w:val="16"/>
        </w:rPr>
        <w:t> </w:t>
      </w:r>
      <w:r>
        <w:rPr>
          <w:rFonts w:ascii="SimSun" w:hAnsi="SimSun" w:eastAsia="SimSun" w:cs="SimSun"/>
          <w:sz w:val="36"/>
          <w:szCs w:val="36"/>
          <w:spacing w:val="-3"/>
        </w:rPr>
        <w:t>年部门“三公”经费预算</w:t>
      </w:r>
      <w:r>
        <w:rPr>
          <w:rFonts w:ascii="SimSun" w:hAnsi="SimSun" w:eastAsia="SimSun" w:cs="SimSun"/>
          <w:sz w:val="36"/>
          <w:szCs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一、2022</w:t>
      </w:r>
      <w:r>
        <w:rPr>
          <w:rFonts w:ascii="FangSong" w:hAnsi="FangSong" w:eastAsia="FangSong" w:cs="FangSong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年部门“三公”经费预算表</w:t>
      </w:r>
    </w:p>
    <w:p>
      <w:pPr>
        <w:ind w:firstLine="27"/>
        <w:spacing w:before="13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  <w:w w:val="97"/>
        </w:rPr>
        <w:t>部门：</w:t>
      </w:r>
      <w:r>
        <w:rPr>
          <w:rFonts w:ascii="SimSun" w:hAnsi="SimSun" w:eastAsia="SimSun" w:cs="SimSun"/>
          <w:sz w:val="20"/>
          <w:szCs w:val="20"/>
          <w:spacing w:val="53"/>
        </w:rPr>
        <w:t> </w:t>
      </w:r>
      <w:r>
        <w:rPr>
          <w:rFonts w:ascii="SimSun" w:hAnsi="SimSun" w:eastAsia="SimSun" w:cs="SimSun"/>
          <w:sz w:val="20"/>
          <w:szCs w:val="20"/>
          <w:spacing w:val="-19"/>
          <w:w w:val="97"/>
        </w:rPr>
        <w:t>泾县政协办</w:t>
      </w:r>
      <w:r>
        <w:rPr>
          <w:rFonts w:ascii="SimSun" w:hAnsi="SimSun" w:eastAsia="SimSun" w:cs="SimSun"/>
          <w:sz w:val="20"/>
          <w:szCs w:val="20"/>
          <w:spacing w:val="1"/>
        </w:rPr>
        <w:t> 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-19"/>
          <w:w w:val="97"/>
        </w:rPr>
        <w:t>单位：</w:t>
      </w:r>
      <w:r>
        <w:rPr>
          <w:rFonts w:ascii="SimSun" w:hAnsi="SimSun" w:eastAsia="SimSun" w:cs="SimSun"/>
          <w:sz w:val="20"/>
          <w:szCs w:val="20"/>
          <w:spacing w:val="68"/>
        </w:rPr>
        <w:t> </w:t>
      </w:r>
      <w:r>
        <w:rPr>
          <w:rFonts w:ascii="SimSun" w:hAnsi="SimSun" w:eastAsia="SimSun" w:cs="SimSun"/>
          <w:sz w:val="20"/>
          <w:szCs w:val="20"/>
          <w:spacing w:val="-19"/>
          <w:w w:val="97"/>
        </w:rPr>
        <w:t>万元</w:t>
      </w:r>
    </w:p>
    <w:p>
      <w:pPr>
        <w:spacing w:line="78" w:lineRule="exact"/>
        <w:rPr/>
      </w:pPr>
      <w:r/>
    </w:p>
    <w:tbl>
      <w:tblPr>
        <w:tblStyle w:val="2"/>
        <w:tblW w:w="87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83"/>
        <w:gridCol w:w="2420"/>
      </w:tblGrid>
      <w:tr>
        <w:trPr>
          <w:trHeight w:val="704" w:hRule="atLeast"/>
        </w:trPr>
        <w:tc>
          <w:tcPr>
            <w:tcW w:w="6283" w:type="dxa"/>
            <w:vAlign w:val="top"/>
          </w:tcPr>
          <w:p>
            <w:pPr>
              <w:ind w:firstLine="2942"/>
              <w:spacing w:before="253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项目</w:t>
            </w:r>
          </w:p>
        </w:tc>
        <w:tc>
          <w:tcPr>
            <w:tcW w:w="2420" w:type="dxa"/>
            <w:vAlign w:val="top"/>
          </w:tcPr>
          <w:p>
            <w:pPr>
              <w:ind w:firstLine="863"/>
              <w:spacing w:before="24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预算数</w:t>
            </w:r>
          </w:p>
        </w:tc>
      </w:tr>
      <w:tr>
        <w:trPr>
          <w:trHeight w:val="562" w:hRule="atLeast"/>
        </w:trPr>
        <w:tc>
          <w:tcPr>
            <w:tcW w:w="6283" w:type="dxa"/>
            <w:vAlign w:val="top"/>
          </w:tcPr>
          <w:p>
            <w:pPr>
              <w:ind w:firstLine="2937"/>
              <w:spacing w:before="1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合计</w:t>
            </w:r>
          </w:p>
        </w:tc>
        <w:tc>
          <w:tcPr>
            <w:tcW w:w="2420" w:type="dxa"/>
            <w:vAlign w:val="top"/>
          </w:tcPr>
          <w:p>
            <w:pPr>
              <w:ind w:firstLine="982"/>
              <w:spacing w:before="207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8.55</w:t>
            </w:r>
          </w:p>
        </w:tc>
      </w:tr>
      <w:tr>
        <w:trPr>
          <w:trHeight w:val="561" w:hRule="atLeast"/>
        </w:trPr>
        <w:tc>
          <w:tcPr>
            <w:tcW w:w="6283" w:type="dxa"/>
            <w:vAlign w:val="top"/>
          </w:tcPr>
          <w:p>
            <w:pPr>
              <w:ind w:firstLine="45"/>
              <w:spacing w:before="180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因公出国（境）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费</w:t>
            </w:r>
          </w:p>
        </w:tc>
        <w:tc>
          <w:tcPr>
            <w:tcW w:w="2420" w:type="dxa"/>
            <w:vAlign w:val="top"/>
          </w:tcPr>
          <w:p>
            <w:pPr>
              <w:ind w:firstLine="1163"/>
              <w:spacing w:before="207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</w:tr>
      <w:tr>
        <w:trPr>
          <w:trHeight w:val="561" w:hRule="atLeast"/>
        </w:trPr>
        <w:tc>
          <w:tcPr>
            <w:tcW w:w="6283" w:type="dxa"/>
            <w:vAlign w:val="top"/>
          </w:tcPr>
          <w:p>
            <w:pPr>
              <w:ind w:firstLine="34"/>
              <w:spacing w:before="180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公务接待费</w:t>
            </w:r>
          </w:p>
        </w:tc>
        <w:tc>
          <w:tcPr>
            <w:tcW w:w="2420" w:type="dxa"/>
            <w:vAlign w:val="top"/>
          </w:tcPr>
          <w:p>
            <w:pPr>
              <w:ind w:firstLine="982"/>
              <w:spacing w:before="20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8.55</w:t>
            </w:r>
          </w:p>
        </w:tc>
      </w:tr>
      <w:tr>
        <w:trPr>
          <w:trHeight w:val="562" w:hRule="atLeast"/>
        </w:trPr>
        <w:tc>
          <w:tcPr>
            <w:tcW w:w="6283" w:type="dxa"/>
            <w:vAlign w:val="top"/>
          </w:tcPr>
          <w:p>
            <w:pPr>
              <w:ind w:firstLine="34"/>
              <w:spacing w:before="180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公务用车购置及运行费</w:t>
            </w:r>
          </w:p>
        </w:tc>
        <w:tc>
          <w:tcPr>
            <w:tcW w:w="2420" w:type="dxa"/>
            <w:vAlign w:val="top"/>
          </w:tcPr>
          <w:p>
            <w:pPr>
              <w:ind w:firstLine="1163"/>
              <w:spacing w:before="21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</w:tr>
      <w:tr>
        <w:trPr>
          <w:trHeight w:val="562" w:hRule="atLeast"/>
        </w:trPr>
        <w:tc>
          <w:tcPr>
            <w:tcW w:w="6283" w:type="dxa"/>
            <w:vAlign w:val="top"/>
          </w:tcPr>
          <w:p>
            <w:pPr>
              <w:ind w:firstLine="249"/>
              <w:spacing w:before="182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其中：</w:t>
            </w:r>
            <w:r>
              <w:rPr>
                <w:rFonts w:ascii="SimSun" w:hAnsi="SimSun" w:eastAsia="SimSun" w:cs="SimSun"/>
                <w:sz w:val="22"/>
                <w:szCs w:val="22"/>
                <w:spacing w:val="6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公务用车运行费</w:t>
            </w:r>
          </w:p>
        </w:tc>
        <w:tc>
          <w:tcPr>
            <w:tcW w:w="2420" w:type="dxa"/>
            <w:vAlign w:val="top"/>
          </w:tcPr>
          <w:p>
            <w:pPr>
              <w:ind w:firstLine="1163"/>
              <w:spacing w:before="212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</w:tr>
      <w:tr>
        <w:trPr>
          <w:trHeight w:val="601" w:hRule="atLeast"/>
        </w:trPr>
        <w:tc>
          <w:tcPr>
            <w:tcW w:w="6283" w:type="dxa"/>
            <w:vAlign w:val="top"/>
          </w:tcPr>
          <w:p>
            <w:pPr>
              <w:ind w:firstLine="805"/>
              <w:spacing w:before="201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公务用车购置费</w:t>
            </w:r>
          </w:p>
        </w:tc>
        <w:tc>
          <w:tcPr>
            <w:tcW w:w="2420" w:type="dxa"/>
            <w:vAlign w:val="top"/>
          </w:tcPr>
          <w:p>
            <w:pPr>
              <w:ind w:firstLine="1163"/>
              <w:spacing w:before="23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</w:tr>
    </w:tbl>
    <w:p>
      <w:pPr>
        <w:spacing w:line="322" w:lineRule="auto"/>
        <w:rPr>
          <w:rFonts w:ascii="SimSun"/>
          <w:sz w:val="21"/>
        </w:rPr>
      </w:pPr>
      <w:r/>
    </w:p>
    <w:p>
      <w:pPr>
        <w:ind w:firstLine="686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二、2022年“三公”经费支出预算情况说明</w:t>
      </w:r>
    </w:p>
    <w:p>
      <w:pPr>
        <w:ind w:left="668" w:right="48" w:firstLine="9"/>
        <w:spacing w:before="30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泾县政协办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2022年一般公共预算“三公”经费支出预算为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8.55万元，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比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2021年预算9.00万元减少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0.45万元，下降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1"/>
        </w:rPr>
        <w:t>5</w:t>
      </w:r>
      <w:r>
        <w:rPr>
          <w:sz w:val="32"/>
          <w:szCs w:val="32"/>
        </w:rPr>
        <w:drawing>
          <wp:inline distT="0" distB="0" distL="0" distR="0">
            <wp:extent cx="87693" cy="15544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9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2"/>
          <w:szCs w:val="32"/>
          <w:spacing w:val="-10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。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无因公出国（境）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费和公务用车购置及运行费支出，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全部为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公务接待费支出预算为8.55万元。具体情况如下：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公务接待费支出8.55万元，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比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2021</w:t>
      </w:r>
      <w:r>
        <w:rPr>
          <w:rFonts w:ascii="FangSong" w:hAnsi="FangSong" w:eastAsia="FangSong" w:cs="FangSong"/>
          <w:sz w:val="32"/>
          <w:szCs w:val="32"/>
          <w:spacing w:val="39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年预算9.00减少</w:t>
      </w:r>
    </w:p>
    <w:p>
      <w:pPr>
        <w:ind w:firstLine="669"/>
        <w:spacing w:before="295" w:line="188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1960117</wp:posOffset>
            </wp:positionH>
            <wp:positionV relativeFrom="paragraph">
              <wp:posOffset>190483</wp:posOffset>
            </wp:positionV>
            <wp:extent cx="85344" cy="15544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6"/>
        </w:rPr>
        <w:t>0.45万元，下降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5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,主要原因是进一步厉行节约，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减少公</w:t>
      </w:r>
    </w:p>
    <w:p>
      <w:pPr>
        <w:ind w:left="668" w:firstLine="16"/>
        <w:spacing w:before="298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务接待批次和人次。该项经费主要用于接待上级单位和兄</w:t>
      </w:r>
      <w:r>
        <w:rPr>
          <w:rFonts w:ascii="FangSong" w:hAnsi="FangSong" w:eastAsia="FangSong" w:cs="FangSong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弟县市公务往来以及招商引资等需要。经费使用严格执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行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8"/>
        </w:rPr>
        <w:t>《党政机关厉行节约反对浪费条例》</w:t>
      </w:r>
      <w:r>
        <w:rPr>
          <w:rFonts w:ascii="FangSong" w:hAnsi="FangSong" w:eastAsia="FangSong" w:cs="FangSong"/>
          <w:sz w:val="32"/>
          <w:szCs w:val="32"/>
          <w:spacing w:val="4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、</w:t>
      </w:r>
      <w:r>
        <w:rPr>
          <w:rFonts w:ascii="FangSong" w:hAnsi="FangSong" w:eastAsia="FangSong" w:cs="FangSong"/>
          <w:sz w:val="32"/>
          <w:szCs w:val="32"/>
          <w:spacing w:val="-15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《安徽省省直机关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0"/>
        </w:rPr>
        <w:t>公务接待管理暂行办法》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（财行〔2014〕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2066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号）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等相关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规定。</w:t>
      </w:r>
    </w:p>
    <w:sectPr>
      <w:pgSz w:w="11910" w:h="16840"/>
      <w:pgMar w:top="1431" w:right="1422" w:bottom="0" w:left="1629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2022-01-29T10:00:10Z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2022-01-30T10:14:22</vt:filetime>
  </op:property>
</op:Properties>
</file>