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both"/>
        <w:rPr>
          <w:rFonts w:asci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人口资源环境委员</w:t>
      </w:r>
      <w:r>
        <w:rPr>
          <w:rFonts w:hint="eastAsia" w:ascii="宋体" w:hAnsi="宋体" w:cs="宋体"/>
          <w:b/>
          <w:bCs/>
          <w:sz w:val="44"/>
          <w:szCs w:val="44"/>
        </w:rPr>
        <w:t>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人口资源环境委员会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2.开展“天然气进小区全覆盖实施情况”专项民主监督；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1.开展“活水润城”专项民主监督；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开展“加强对古村落（古民居）的保护和利用，发挥在美丽乡村建设中的独特魅力”重点民主协商；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35266FF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1D598D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37EBAB01BA0945898243C9FD3A45CD07</vt:lpwstr>
  </property>
</Properties>
</file>