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  <w:szCs w:val="28"/>
        </w:rPr>
      </w:pPr>
      <w:r>
        <w:pict>
          <v:rect id="_x0000_s1026" o:spid="_x0000_s1026" o:spt="1" style="position:absolute;left:0pt;margin-left:41.25pt;margin-top:24.95pt;height:82.1pt;width:353.25pt;z-index:251658240;mso-width-relative:page;mso-height-relative:page;" stroked="t" coordsize="21600,21600" o:gfxdata="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O8u4/XAAAACQEAAA8AAAAAAAAAAQAgAAAAIgAAAGRycy9k&#10;b3ducmV2LnhtbFBLAQIUABQAAAAIAIdO4kAhJrUYAwIAADgEAAAOAAAAAAAAAAEAIAAAACYBAABk&#10;cnMvZTJvRG9jLnhtbFBLBQYAAAAABgAGAFkBAACbBQAAAAAA&#10;">
            <v:path/>
            <v:fill focussize="0,0"/>
            <v:stroke color="#FFFFFF"/>
            <v:imagedata o:title=""/>
            <o:lock v:ext="edit"/>
            <v:textbox>
              <w:txbxContent>
                <w:p>
                  <w:pPr>
                    <w:spacing w:line="1600" w:lineRule="exact"/>
                    <w:jc w:val="distribute"/>
                    <w:rPr>
                      <w:rFonts w:ascii="方正美黑简体" w:eastAsia="方正美黑简体"/>
                      <w:color w:val="FF0000"/>
                      <w:w w:val="80"/>
                      <w:sz w:val="135"/>
                    </w:rPr>
                  </w:pPr>
                  <w:r>
                    <w:rPr>
                      <w:rFonts w:hint="eastAsia" w:ascii="方正美黑简体" w:eastAsia="方正美黑简体"/>
                      <w:color w:val="FF0000"/>
                      <w:w w:val="80"/>
                      <w:sz w:val="135"/>
                    </w:rPr>
                    <w:t>社情民意专报</w:t>
                  </w:r>
                </w:p>
              </w:txbxContent>
            </v:textbox>
          </v:rect>
        </w:pict>
      </w:r>
    </w:p>
    <w:p>
      <w:pPr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spacing w:line="240" w:lineRule="exact"/>
        <w:ind w:firstLine="560" w:firstLineChars="200"/>
        <w:rPr>
          <w:sz w:val="28"/>
          <w:szCs w:val="28"/>
        </w:rPr>
      </w:pPr>
    </w:p>
    <w:p>
      <w:pPr>
        <w:spacing w:line="240" w:lineRule="exact"/>
        <w:ind w:firstLine="560" w:firstLineChars="200"/>
        <w:rPr>
          <w:sz w:val="28"/>
          <w:szCs w:val="28"/>
        </w:rPr>
      </w:pPr>
    </w:p>
    <w:p>
      <w:pPr>
        <w:jc w:val="center"/>
        <w:rPr>
          <w:rFonts w:ascii="黑体" w:eastAsia="黑体"/>
          <w:sz w:val="30"/>
          <w:szCs w:val="32"/>
        </w:rPr>
      </w:pPr>
      <w:r>
        <w:rPr>
          <w:rFonts w:hint="eastAsia" w:ascii="黑体" w:eastAsia="黑体"/>
          <w:sz w:val="30"/>
          <w:szCs w:val="32"/>
        </w:rPr>
        <w:t>第8期</w:t>
      </w:r>
      <w:r>
        <w:rPr>
          <w:rFonts w:hint="eastAsia" w:ascii="楷体_GB2312" w:eastAsia="楷体_GB2312"/>
          <w:sz w:val="30"/>
          <w:szCs w:val="32"/>
        </w:rPr>
        <w:t>（总第二十八期）</w:t>
      </w:r>
    </w:p>
    <w:p>
      <w:pPr>
        <w:spacing w:afterLines="100"/>
        <w:jc w:val="center"/>
        <w:rPr>
          <w:rFonts w:ascii="楷体_GB2312" w:eastAsia="楷体_GB2312"/>
          <w:sz w:val="32"/>
          <w:szCs w:val="32"/>
        </w:rPr>
      </w:pPr>
      <w:r>
        <w:pict>
          <v:line id="直线 3" o:spid="_x0000_s1028" o:spt="20" style="position:absolute;left:0pt;margin-left:350.35pt;margin-top:31.2pt;height:487.2pt;width:0pt;z-index:251659264;mso-width-relative:page;mso-height-relative:page;" stroked="t" coordsize="21600,21600" o:gfxdata="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NjtoLYAAAACwEAAA8AAAAAAAAAAQAgAAAAIgAAAGRycy9kb3ducmV2LnhtbFBLAQIUABQA&#10;AAAIAIdO4kCMhEyu8AEAAOoDAAAOAAAAAAAAAAEAIAAAACcBAABkcnMvZTJvRG9jLnhtbFBLBQYA&#10;AAAABgAGAFkBAACJBQAAAAAA&#10;">
            <v:path arrowok="t"/>
            <v:fill focussize="0,0"/>
            <v:stroke weight="1.25pt" color="#FF0000"/>
            <v:imagedata o:title=""/>
            <o:lock v:ext="edit"/>
          </v:line>
        </w:pict>
      </w:r>
      <w:r>
        <w:pict>
          <v:line id="直线 4" o:spid="_x0000_s1027" o:spt="20" style="position:absolute;left:0pt;margin-left:0pt;margin-top:31.2pt;height:0pt;width:441pt;z-index:251660288;mso-width-relative:page;mso-height-relative:page;" stroked="t" coordsize="21600,21600" o:gfxdata="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je+9WNUAAAAGAQAADwAAAAAAAAABACAAAAAiAAAAZHJzL2Rvd25yZXYueG1sUEsBAhQAFAAAAAgA&#10;h07iQAnZfPDvAQAA6gMAAA4AAAAAAAAAAQAgAAAAJAEAAGRycy9lMm9Eb2MueG1sUEsFBgAAAAAG&#10;AAYAWQEAAIUFAAAAAAAA&#10;">
            <v:path arrowok="t"/>
            <v:fill focussize="0,0"/>
            <v:stroke weight="1.5pt" color="#FF0000"/>
            <v:imagedata o:title=""/>
            <o:lock v:ext="edit"/>
          </v:line>
        </w:pict>
      </w:r>
      <w:r>
        <w:rPr>
          <w:rFonts w:hint="eastAsia" w:ascii="楷体_GB2312" w:eastAsia="楷体_GB2312"/>
          <w:sz w:val="32"/>
          <w:szCs w:val="32"/>
        </w:rPr>
        <w:t>泾县政协办公室编印</w:t>
      </w:r>
      <w:r>
        <w:rPr>
          <w:rFonts w:ascii="楷体_GB2312" w:eastAsia="楷体_GB2312"/>
          <w:sz w:val="32"/>
          <w:szCs w:val="32"/>
        </w:rPr>
        <w:t xml:space="preserve">                  202</w:t>
      </w:r>
      <w:r>
        <w:rPr>
          <w:rFonts w:hint="eastAsia" w:ascii="楷体_GB2312" w:eastAsia="楷体_GB2312"/>
          <w:sz w:val="32"/>
          <w:szCs w:val="32"/>
        </w:rPr>
        <w:t>3年5月11日</w:t>
      </w:r>
    </w:p>
    <w:p>
      <w:pPr>
        <w:spacing w:line="440" w:lineRule="exact"/>
        <w:jc w:val="center"/>
        <w:rPr>
          <w:rFonts w:ascii="楷体_GB2312" w:hAnsi="华文中宋" w:eastAsia="楷体_GB2312"/>
          <w:b/>
          <w:spacing w:val="6"/>
          <w:sz w:val="32"/>
          <w:szCs w:val="32"/>
        </w:rPr>
      </w:pPr>
    </w:p>
    <w:p>
      <w:pPr>
        <w:spacing w:line="600" w:lineRule="exact"/>
        <w:ind w:right="1953" w:rightChars="930" w:firstLine="640" w:firstLineChars="200"/>
        <w:rPr>
          <w:rFonts w:ascii="仿宋_GB2312" w:hAnsi="Helvetica" w:eastAsia="仿宋_GB2312" w:cs="Helvetica"/>
          <w:bCs/>
          <w:sz w:val="32"/>
          <w:szCs w:val="32"/>
        </w:rPr>
      </w:pPr>
    </w:p>
    <w:p>
      <w:pPr>
        <w:spacing w:line="600" w:lineRule="exact"/>
        <w:ind w:right="1953" w:rightChars="930" w:firstLine="640" w:firstLineChars="200"/>
        <w:rPr>
          <w:rFonts w:ascii="仿宋_GB2312" w:hAnsi="Helvetica" w:eastAsia="仿宋_GB2312" w:cs="Helvetica"/>
          <w:bCs/>
          <w:sz w:val="32"/>
          <w:szCs w:val="32"/>
        </w:rPr>
      </w:pPr>
      <w:r>
        <w:rPr>
          <w:rFonts w:hint="eastAsia" w:ascii="仿宋_GB2312" w:hAnsi="Helvetica" w:eastAsia="仿宋_GB2312" w:cs="Helvetica"/>
          <w:bCs/>
          <w:sz w:val="32"/>
          <w:szCs w:val="32"/>
        </w:rPr>
        <w:t>广大县政协委员及包海涛委员工作室通过接待群众来信来访、实地调研考察和走访基层群众，多方收集社情民意，内容涉及部分县直单位和乡镇。根据《政协安徽省委员会反映社情民意信息工作条例》有关规定，现将收集的社情民意信息随文报送，供相关部门阅研，办理结果望函告。</w:t>
      </w:r>
    </w:p>
    <w:p>
      <w:pPr>
        <w:rPr>
          <w:rFonts w:ascii="仿宋_GB2312" w:hAnsi="Helvetica" w:eastAsia="仿宋_GB2312" w:cs="Helvetica"/>
          <w:bCs/>
          <w:sz w:val="32"/>
          <w:szCs w:val="32"/>
        </w:rPr>
      </w:pPr>
    </w:p>
    <w:p>
      <w:pPr>
        <w:ind w:firstLine="640" w:firstLineChars="200"/>
        <w:rPr>
          <w:rFonts w:ascii="仿宋_GB2312" w:hAnsi="Helvetica" w:eastAsia="仿宋_GB2312" w:cs="Helvetica"/>
          <w:bCs/>
          <w:sz w:val="32"/>
          <w:szCs w:val="32"/>
        </w:rPr>
      </w:pPr>
      <w:r>
        <w:rPr>
          <w:rFonts w:hint="eastAsia" w:ascii="仿宋_GB2312" w:hAnsi="Helvetica" w:eastAsia="仿宋_GB2312" w:cs="Helvetica"/>
          <w:bCs/>
          <w:sz w:val="32"/>
          <w:szCs w:val="32"/>
        </w:rPr>
        <w:t>附：社情民意信息</w:t>
      </w:r>
    </w:p>
    <w:p>
      <w:pPr>
        <w:spacing w:line="240" w:lineRule="exact"/>
        <w:rPr>
          <w:rFonts w:ascii="仿宋_GB2312" w:hAnsi="Helvetica" w:eastAsia="仿宋_GB2312" w:cs="Helvetica"/>
          <w:bCs/>
          <w:sz w:val="32"/>
          <w:szCs w:val="32"/>
        </w:rPr>
      </w:pPr>
    </w:p>
    <w:p>
      <w:pPr>
        <w:spacing w:line="600" w:lineRule="exact"/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spacing w:line="600" w:lineRule="exact"/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spacing w:line="600" w:lineRule="exact"/>
        <w:rPr>
          <w:rFonts w:ascii="华文中宋" w:hAnsi="华文中宋" w:eastAsia="华文中宋"/>
          <w:b/>
          <w:sz w:val="44"/>
          <w:szCs w:val="44"/>
        </w:rPr>
      </w:pPr>
    </w:p>
    <w:p>
      <w:pPr>
        <w:spacing w:line="600" w:lineRule="exact"/>
        <w:rPr>
          <w:rFonts w:ascii="华文中宋" w:hAnsi="华文中宋" w:eastAsia="华文中宋"/>
          <w:b/>
          <w:sz w:val="44"/>
          <w:szCs w:val="44"/>
        </w:rPr>
      </w:pPr>
    </w:p>
    <w:p>
      <w:pPr>
        <w:spacing w:line="600" w:lineRule="exact"/>
        <w:jc w:val="center"/>
        <w:rPr>
          <w:rFonts w:hint="eastAsia" w:ascii="华文中宋" w:hAnsi="华文中宋" w:eastAsia="华文中宋"/>
          <w:b/>
          <w:spacing w:val="20"/>
          <w:sz w:val="44"/>
          <w:szCs w:val="44"/>
        </w:rPr>
      </w:pPr>
    </w:p>
    <w:p>
      <w:pPr>
        <w:spacing w:line="600" w:lineRule="exact"/>
        <w:jc w:val="center"/>
        <w:rPr>
          <w:rFonts w:ascii="华文中宋" w:hAnsi="华文中宋" w:eastAsia="华文中宋"/>
          <w:b/>
          <w:spacing w:val="20"/>
          <w:sz w:val="44"/>
          <w:szCs w:val="44"/>
        </w:rPr>
      </w:pPr>
      <w:r>
        <w:rPr>
          <w:rFonts w:hint="eastAsia" w:ascii="华文中宋" w:hAnsi="华文中宋" w:eastAsia="华文中宋"/>
          <w:b/>
          <w:spacing w:val="20"/>
          <w:sz w:val="44"/>
          <w:szCs w:val="44"/>
        </w:rPr>
        <w:t>社情民意信息</w:t>
      </w:r>
    </w:p>
    <w:p>
      <w:pPr>
        <w:spacing w:line="60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青弋江总干渠绕城而过，不仅是我县工业和生活用水的重要水源地，也是“山水泾川”绿色泾县的一张靓丽名片。总干渠绿道（运河绿道）竣工开放后，成了我县广大市民徒步、慢跑、健身休闲的好去处。然而在我们感受城市美景的同时，沿途的环境卫生问题却日益突出。经实地查看，主要问题表现以下几方面：（1）垃圾桶投放较少。运河绿道整个路段除极少数区域设置垃圾桶外，没有垃圾收集设施，这也使得居民因找不到垃圾桶而乱扔垃圾。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2）运河绿道部分路段环境问题较为突出，主要是从梁家河村至城东桥段，除常见生活垃圾外，多处倾倒建筑装饰垃圾和汽车修理垃圾，如破旧沙发、海绵泡沫、玻璃、衣物、水泥砖石、水泥袋、汽车坐垫、机油盒、胶带等。（3）河道内存在漂浮垃圾。</w:t>
      </w:r>
      <w:r>
        <w:rPr>
          <w:rFonts w:hint="eastAsia" w:ascii="仿宋_GB2312" w:hAnsi="仿宋_GB2312" w:eastAsia="仿宋_GB2312" w:cs="仿宋_GB2312"/>
          <w:sz w:val="32"/>
          <w:szCs w:val="32"/>
        </w:rPr>
        <w:t>为保护好水源和维护好绿道，建议：</w:t>
      </w:r>
    </w:p>
    <w:p>
      <w:pPr>
        <w:spacing w:line="60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对运河绿道全路段开展一次垃圾集中清扫行动。（二）对无垃圾收储设施的路段每隔700-1000米设置一个垃圾桶，对已有垃圾桶的路段适当增设一些，方便市民使用，也便于垃圾收集清运。（三）在绿道沿途的路灯杆上设置宣传牌（可参照县城内“公厕指示牌”的设置方法），内容为爱护绿道、注重环境、保持清洁、禁止倾倒等标语，起到提示和警示作用。（四）发挥绿道沿路住户群众的监督作用。对破坏绿道、倾倒建筑装饰和汽车修理服务等行为的，鼓励群众当场制止或及时拨打举报电话，并给予举报者适当物资奖励和精神鼓励。（五）县城管执法局、泾川镇等配备环卫清扫人员，定期对绿道及周边进行清扫并及时清运，日常加强对清扫人员的管理，确保保洁成效。县水利局要加强与河道管理部门对接，定期对河道内的漂浮垃圾进行清理，保障河道干净。（反映人：宣城民革第七支部 13966164635）</w:t>
      </w:r>
    </w:p>
    <w:p>
      <w:pPr>
        <w:spacing w:line="60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6727825</wp:posOffset>
            </wp:positionV>
            <wp:extent cx="3674745" cy="3769995"/>
            <wp:effectExtent l="19050" t="0" r="1905" b="0"/>
            <wp:wrapNone/>
            <wp:docPr id="7" name="图片 59" descr="be16818be369287ef512acb5827e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9" descr="be16818be369287ef512acb5827e9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37699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6727825</wp:posOffset>
            </wp:positionV>
            <wp:extent cx="3674745" cy="3769995"/>
            <wp:effectExtent l="19050" t="0" r="1905" b="0"/>
            <wp:wrapNone/>
            <wp:docPr id="6" name="图片 59" descr="be16818be369287ef512acb5827e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9" descr="be16818be369287ef512acb5827e9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37699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附：</w:t>
      </w:r>
    </w:p>
    <w:p>
      <w:pPr>
        <w:spacing w:line="600" w:lineRule="exact"/>
        <w:ind w:firstLine="800" w:firstLineChars="2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71120</wp:posOffset>
            </wp:positionV>
            <wp:extent cx="2542540" cy="2828290"/>
            <wp:effectExtent l="0" t="0" r="10160" b="3810"/>
            <wp:wrapNone/>
            <wp:docPr id="8" name="图片 6" descr="C:\Users\Administrator\Desktop\关于增加垃圾收储设施的建议\微信图片_20230326095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Administrator\Desktop\关于增加垃圾收储设施的建议\微信图片_2023032609583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81280</wp:posOffset>
            </wp:positionV>
            <wp:extent cx="2858770" cy="2809875"/>
            <wp:effectExtent l="0" t="0" r="11430" b="9525"/>
            <wp:wrapNone/>
            <wp:docPr id="1" name="图片 59" descr="be16818be369287ef512acb5827e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9" descr="be16818be369287ef512acb5827e9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8098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800" w:firstLineChars="250"/>
        <w:rPr>
          <w:rFonts w:ascii="仿宋" w:hAnsi="仿宋" w:eastAsia="仿宋" w:cs="仿宋"/>
          <w:sz w:val="32"/>
          <w:szCs w:val="32"/>
        </w:rPr>
      </w:pPr>
    </w:p>
    <w:p>
      <w:pPr>
        <w:tabs>
          <w:tab w:val="left" w:pos="6660"/>
        </w:tabs>
        <w:spacing w:line="600" w:lineRule="exact"/>
        <w:ind w:firstLine="800" w:firstLineChars="2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ab/>
      </w:r>
    </w:p>
    <w:p>
      <w:pPr>
        <w:spacing w:line="600" w:lineRule="exact"/>
        <w:ind w:firstLine="800" w:firstLineChars="250"/>
        <w:rPr>
          <w:rFonts w:ascii="仿宋" w:hAnsi="仿宋" w:eastAsia="仿宋" w:cs="仿宋"/>
          <w:sz w:val="32"/>
          <w:szCs w:val="32"/>
        </w:rPr>
      </w:pPr>
    </w:p>
    <w:p>
      <w:pPr>
        <w:spacing w:line="600" w:lineRule="exact"/>
        <w:ind w:firstLine="800" w:firstLineChars="250"/>
        <w:rPr>
          <w:rFonts w:ascii="仿宋" w:hAnsi="仿宋" w:eastAsia="仿宋" w:cs="仿宋"/>
          <w:sz w:val="32"/>
          <w:szCs w:val="32"/>
        </w:rPr>
      </w:pPr>
    </w:p>
    <w:p>
      <w:pPr>
        <w:jc w:val="left"/>
        <w:rPr>
          <w:rFonts w:ascii="仿宋" w:hAnsi="仿宋" w:eastAsia="仿宋" w:cs="楷体"/>
          <w:sz w:val="32"/>
          <w:szCs w:val="40"/>
        </w:rPr>
      </w:pPr>
    </w:p>
    <w:p>
      <w:pPr>
        <w:spacing w:line="400" w:lineRule="exact"/>
        <w:jc w:val="left"/>
        <w:rPr>
          <w:rFonts w:ascii="仿宋" w:hAnsi="仿宋" w:eastAsia="仿宋" w:cs="楷体"/>
          <w:sz w:val="32"/>
          <w:szCs w:val="40"/>
        </w:rPr>
      </w:pPr>
    </w:p>
    <w:p>
      <w:pPr>
        <w:rPr>
          <w:rFonts w:ascii="仿宋" w:hAnsi="仿宋" w:eastAsia="仿宋" w:cs="楷体"/>
          <w:sz w:val="32"/>
          <w:szCs w:val="40"/>
        </w:rPr>
      </w:pPr>
    </w:p>
    <w:p>
      <w:pPr>
        <w:ind w:firstLine="280" w:firstLineChars="100"/>
        <w:rPr>
          <w:rFonts w:ascii="楷体_GB2312" w:hAnsi="楷体_GB2312" w:eastAsia="楷体_GB2312" w:cs="楷体_GB2312"/>
          <w:sz w:val="28"/>
          <w:szCs w:val="36"/>
        </w:rPr>
      </w:pPr>
      <w:r>
        <w:rPr>
          <w:rFonts w:hint="eastAsia" w:ascii="楷体_GB2312" w:hAnsi="楷体_GB2312" w:eastAsia="楷体_GB2312" w:cs="楷体_GB2312"/>
          <w:sz w:val="28"/>
          <w:szCs w:val="36"/>
        </w:rPr>
        <w:t>（左图为绿道看守所至城东桥段） （右图为绿道城东桥至观塘桥段）</w:t>
      </w:r>
    </w:p>
    <w:p>
      <w:pPr>
        <w:overflowPunct w:val="0"/>
        <w:ind w:firstLine="640" w:firstLineChars="200"/>
        <w:rPr>
          <w:rFonts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sz w:val="32"/>
          <w:szCs w:val="40"/>
        </w:rPr>
        <w:t>二、位于泾县中山北路168号原电机厂宿舍，有30余户住户，因房屋建设时间较久，房屋破旧，设施老化，存在天窗破损、墙体开裂渗水等问题，尤其是排水管道，因系生铁管道，长年腐蚀，锈迹斑斑，有破裂现象。因下水管道涉及住户较多，施工难度较大，住户希望政府相关部门介入，帮助更换排水管道、屋顶瓦片、天窗翻修。（反映人：包海涛委员工作室  18788812882）</w:t>
      </w:r>
    </w:p>
    <w:p>
      <w:pPr>
        <w:overflowPunct w:val="0"/>
        <w:ind w:firstLine="640" w:firstLineChars="200"/>
        <w:rPr>
          <w:rFonts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sz w:val="32"/>
          <w:szCs w:val="40"/>
        </w:rPr>
        <w:t>三、万顺花园小区2栋北面围墙处，有一条臭水沟经常散发恶臭，严重影响附近居民的居住生活环境。希望政府相关部门介入，予以重视处理，给居民创造一个良好的居住环境。（反映人：包海涛委员工作室  18788812882）</w:t>
      </w:r>
    </w:p>
    <w:p>
      <w:pPr>
        <w:overflowPunct w:val="0"/>
        <w:ind w:firstLine="640" w:firstLineChars="200"/>
        <w:rPr>
          <w:rFonts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sz w:val="32"/>
          <w:szCs w:val="40"/>
        </w:rPr>
        <w:t>四、位于泾县四鑫大市场后面的原汽车大修厂宿舍，有10户联排住户，因房屋系80年代初建设的砖木结构，建设时间较长，房屋严重受损，一些屋顶支柱和竹柱已出现老化和弯曲，有白蚁蛀蚀现象，如遇恶劣天气，房屋存在倒塌危险，且无卫生间、无下水道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，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40"/>
        </w:rPr>
        <w:t>过道狭窄，消防车无法进出，居民生活极为不便。希望政府相关部门介入，对房屋进行征收。（反映人：包海涛委员工作室  18788812882）</w:t>
      </w:r>
    </w:p>
    <w:p>
      <w:pPr>
        <w:overflowPunct w:val="0"/>
        <w:ind w:firstLine="640" w:firstLineChars="200"/>
        <w:rPr>
          <w:rFonts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sz w:val="32"/>
          <w:szCs w:val="40"/>
        </w:rPr>
        <w:t>五、泾县的公交车普遍车速过快，以至于老人、小孩下车不能及时叫停，经常坐过站。希望政府相关部门介入，让驾驶员提高职业素质，到站提醒，适当控制车速，文明安全行车。（反映人：包海涛委员工作室  18788812882）</w:t>
      </w:r>
    </w:p>
    <w:p>
      <w:pPr>
        <w:overflowPunct w:val="0"/>
        <w:ind w:firstLine="640" w:firstLineChars="200"/>
        <w:rPr>
          <w:rFonts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sz w:val="32"/>
          <w:szCs w:val="40"/>
        </w:rPr>
        <w:t>六、2023年1月，县卫健委、县财政局联合下发《关于做好全县机关、企事业单位干部职工健康体检有关工作的通知》，据了解，《通知》出台后，绝大部分在职职工对新的规定持认可赞同态度，但是在退休职工群体中产生了一些争议。主要意见如下：我县各单位均有相当比例的退休职工随子女在县外常住，甚至部分退休职工的居住地在省外，返泾路途遥远。如果指定县内医疗机构进行职工体检，必然造成部分退休职工为了体检而往返奔波，尤其是常住县外、年纪偏大或身体偏弱的退休职工，会因为无法返泾而放弃职工体检这项福利。定点体检没有充分考虑部分退休职工的实际情况，没有充分体现对退休职工的关心关爱。针对这一问题，建议县卫健部门能优化调整全县机关、企事业单位退休职工的体检安排，明确常住县外的退休职工可以自行在居住地体检机构开展，体检费用可以凭正规发票、按统一标准回原单位报销。（反映委员：程刚  18905636916）</w:t>
      </w:r>
    </w:p>
    <w:p>
      <w:pPr>
        <w:overflowPunct w:val="0"/>
        <w:spacing w:line="580" w:lineRule="exact"/>
        <w:rPr>
          <w:rFonts w:ascii="仿宋" w:hAnsi="仿宋" w:eastAsia="仿宋" w:cs="仿宋"/>
          <w:sz w:val="32"/>
          <w:szCs w:val="32"/>
        </w:rPr>
      </w:pPr>
    </w:p>
    <w:p>
      <w:pPr>
        <w:overflowPunct w:val="0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overflowPunct w:val="0"/>
        <w:spacing w:line="600" w:lineRule="exact"/>
        <w:rPr>
          <w:rFonts w:ascii="仿宋" w:hAnsi="仿宋" w:eastAsia="仿宋" w:cs="仿宋"/>
          <w:sz w:val="32"/>
          <w:szCs w:val="32"/>
        </w:rPr>
      </w:pPr>
    </w:p>
    <w:sectPr>
      <w:headerReference r:id="rId3" w:type="first"/>
      <w:footerReference r:id="rId4" w:type="default"/>
      <w:pgSz w:w="11906" w:h="16838"/>
      <w:pgMar w:top="2041" w:right="1588" w:bottom="1587" w:left="1588" w:header="851" w:footer="1020" w:gutter="0"/>
      <w:pgNumType w:fmt="numberInDash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美黑简体">
    <w:altName w:val="黑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Helvetica"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pict>
        <v:shape id="_x0000_s2049" o:spid="_x0000_s2049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e+RF6yQEAAJkDAAAOAAAAAAAAAAEAIAAAAB4BAABkcnMvZTJvRG9j&#10;LnhtbFBLBQYAAAAABgAGAFkBAABZBQAAAAAA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  <w:rPr>
                    <w:rFonts w:ascii="仿宋_GB2312" w:hAnsi="仿宋_GB2312" w:eastAsia="仿宋_GB2312" w:cs="仿宋_GB2312"/>
                    <w:sz w:val="30"/>
                    <w:szCs w:val="30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30"/>
                    <w:szCs w:val="30"/>
                  </w:rPr>
                  <w:fldChar w:fldCharType="begin"/>
                </w:r>
                <w:r>
                  <w:rPr>
                    <w:rFonts w:hint="eastAsia" w:ascii="仿宋_GB2312" w:hAnsi="仿宋_GB2312" w:eastAsia="仿宋_GB2312" w:cs="仿宋_GB2312"/>
                    <w:sz w:val="30"/>
                    <w:szCs w:val="30"/>
                  </w:rPr>
                  <w:instrText xml:space="preserve"> PAGE  \* MERGEFORMAT </w:instrText>
                </w:r>
                <w:r>
                  <w:rPr>
                    <w:rFonts w:hint="eastAsia" w:ascii="仿宋_GB2312" w:hAnsi="仿宋_GB2312" w:eastAsia="仿宋_GB2312" w:cs="仿宋_GB2312"/>
                    <w:sz w:val="30"/>
                    <w:szCs w:val="30"/>
                  </w:rPr>
                  <w:fldChar w:fldCharType="separate"/>
                </w:r>
                <w:r>
                  <w:rPr>
                    <w:rFonts w:ascii="仿宋_GB2312" w:hAnsi="仿宋_GB2312" w:eastAsia="仿宋_GB2312" w:cs="仿宋_GB2312"/>
                    <w:sz w:val="30"/>
                    <w:szCs w:val="30"/>
                  </w:rPr>
                  <w:t>- 4 -</w:t>
                </w:r>
                <w:r>
                  <w:rPr>
                    <w:rFonts w:hint="eastAsia" w:ascii="仿宋_GB2312" w:hAnsi="仿宋_GB2312" w:eastAsia="仿宋_GB2312" w:cs="仿宋_GB2312"/>
                    <w:sz w:val="30"/>
                    <w:szCs w:val="30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"/>
  </w:docVar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customStyle="1" w:styleId="7">
    <w:name w:val="页眉 Char"/>
    <w:basedOn w:val="5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8">
    <w:name w:val="页脚 Char"/>
    <w:basedOn w:val="5"/>
    <w:link w:val="2"/>
    <w:semiHidden/>
    <w:qFormat/>
    <w:locked/>
    <w:uiPriority w:val="99"/>
    <w:rPr>
      <w:rFonts w:cs="Times New Roman"/>
      <w:sz w:val="18"/>
      <w:szCs w:val="18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5</Pages>
  <Words>288</Words>
  <Characters>1642</Characters>
  <Lines>13</Lines>
  <Paragraphs>3</Paragraphs>
  <TotalTime>0</TotalTime>
  <ScaleCrop>false</ScaleCrop>
  <LinksUpToDate>false</LinksUpToDate>
  <CharactersWithSpaces>1927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2023-05-11T09:41:00Z</dcterms:created>
  <dc:creator>hp</dc:creator>
  <cp:lastModifiedBy>iPhone</cp:lastModifiedBy>
  <cp:lastPrinted>2023-05-05T16:34:00Z</cp:lastPrinted>
  <dcterms:modified xsi:type="dcterms:W3CDTF">2023-05-12T16:05:40Z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2052-11.36.2</vt:lpwstr>
  </property>
  <property fmtid="{D5CDD505-2E9C-101B-9397-08002B2CF9AE}" pid="3" name="ICV">
    <vt:lpwstr>226F280700DD43BEB5CF7681EFF3DEF0_13</vt:lpwstr>
  </property>
</Properties>
</file>