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316865</wp:posOffset>
                </wp:positionV>
                <wp:extent cx="4486275" cy="1042670"/>
                <wp:effectExtent l="5080" t="4445" r="4445" b="19685"/>
                <wp:wrapNone/>
                <wp:docPr id="2" name="矩形 2"/>
                <wp:cNvGraphicFramePr/>
                <a:graphic xmlns:a="http://schemas.openxmlformats.org/drawingml/2006/main">
                  <a:graphicData uri="http://schemas.microsoft.com/office/word/2010/wordprocessingShape">
                    <wps:wsp>
                      <wps:cNvSpPr/>
                      <wps:spPr>
                        <a:xfrm>
                          <a:off x="0" y="0"/>
                          <a:ext cx="4486275" cy="10426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wps:txbx>
                      <wps:bodyPr upright="1"/>
                    </wps:wsp>
                  </a:graphicData>
                </a:graphic>
              </wp:anchor>
            </w:drawing>
          </mc:Choice>
          <mc:Fallback>
            <w:pict>
              <v:rect id="_x0000_s1026" o:spid="_x0000_s1026" o:spt="1" style="position:absolute;left:0pt;margin-left:41.25pt;margin-top:24.95pt;height:82.1pt;width:353.25pt;z-index:251659264;mso-width-relative:page;mso-height-relative:page;" fillcolor="#FFFFFF" filled="t" stroked="t" coordsize="21600,21600" o:gfxdata="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8u4/XAAAACQEAAA8AAAAAAAAAAQAgAAAAIgAAAGRycy9k&#10;b3ducmV2LnhtbFBLAQIUABQAAAAIAIdO4kAhJrUYAwIAADgEAAAOAAAAAAAAAAEAIAAAACYBAABk&#10;cnMvZTJvRG9jLnhtbFBLBQYAAAAABgAGAFkBAACbBQAAAAA=&#10;">
                <v:fill on="t" focussize="0,0"/>
                <v:stroke color="#FFFFFF" joinstyle="miter"/>
                <v:imagedata o:title=""/>
                <o:lock v:ext="edit" aspectratio="f"/>
                <v:textbox>
                  <w:txbxContent>
                    <w:p>
                      <w:pPr>
                        <w:spacing w:line="1600" w:lineRule="exact"/>
                        <w:jc w:val="distribute"/>
                        <w:rPr>
                          <w:rFonts w:ascii="方正美黑简体" w:eastAsia="方正美黑简体"/>
                          <w:color w:val="FF0000"/>
                          <w:w w:val="80"/>
                          <w:sz w:val="135"/>
                        </w:rPr>
                      </w:pPr>
                      <w:r>
                        <w:rPr>
                          <w:rFonts w:hint="eastAsia" w:ascii="方正美黑简体" w:eastAsia="方正美黑简体"/>
                          <w:color w:val="FF0000"/>
                          <w:w w:val="80"/>
                          <w:sz w:val="135"/>
                        </w:rPr>
                        <w:t>社情民意专报</w:t>
                      </w:r>
                    </w:p>
                  </w:txbxContent>
                </v:textbox>
              </v:rect>
            </w:pict>
          </mc:Fallback>
        </mc:AlternateContent>
      </w:r>
    </w:p>
    <w:p>
      <w:pPr>
        <w:rPr>
          <w:color w:val="000000" w:themeColor="text1"/>
          <w:sz w:val="28"/>
          <w:szCs w:val="28"/>
          <w14:textFill>
            <w14:solidFill>
              <w14:schemeClr w14:val="tx1"/>
            </w14:solidFill>
          </w14:textFill>
        </w:rPr>
      </w:pPr>
    </w:p>
    <w:p>
      <w:pPr>
        <w:ind w:firstLine="560" w:firstLineChars="200"/>
        <w:rPr>
          <w:color w:val="000000" w:themeColor="text1"/>
          <w:sz w:val="28"/>
          <w:szCs w:val="28"/>
          <w14:textFill>
            <w14:solidFill>
              <w14:schemeClr w14:val="tx1"/>
            </w14:solidFill>
          </w14:textFill>
        </w:rPr>
      </w:pPr>
    </w:p>
    <w:p>
      <w:pPr>
        <w:spacing w:line="240" w:lineRule="exact"/>
        <w:ind w:firstLine="560" w:firstLineChars="200"/>
        <w:rPr>
          <w:color w:val="000000" w:themeColor="text1"/>
          <w:sz w:val="28"/>
          <w:szCs w:val="28"/>
          <w14:textFill>
            <w14:solidFill>
              <w14:schemeClr w14:val="tx1"/>
            </w14:solidFill>
          </w14:textFill>
        </w:rPr>
      </w:pPr>
    </w:p>
    <w:p>
      <w:pPr>
        <w:spacing w:line="240" w:lineRule="exact"/>
        <w:ind w:firstLine="560" w:firstLineChars="200"/>
        <w:rPr>
          <w:color w:val="000000" w:themeColor="text1"/>
          <w:sz w:val="28"/>
          <w:szCs w:val="28"/>
          <w14:textFill>
            <w14:solidFill>
              <w14:schemeClr w14:val="tx1"/>
            </w14:solidFill>
          </w14:textFill>
        </w:rPr>
      </w:pPr>
    </w:p>
    <w:p>
      <w:pPr>
        <w:jc w:val="center"/>
        <w:rPr>
          <w:rFonts w:ascii="黑体" w:eastAsia="黑体"/>
          <w:color w:val="000000" w:themeColor="text1"/>
          <w:sz w:val="30"/>
          <w:szCs w:val="32"/>
          <w14:textFill>
            <w14:solidFill>
              <w14:schemeClr w14:val="tx1"/>
            </w14:solidFill>
          </w14:textFill>
        </w:rPr>
      </w:pPr>
      <w:r>
        <w:rPr>
          <w:rFonts w:hint="eastAsia" w:ascii="黑体" w:eastAsia="黑体"/>
          <w:color w:val="000000" w:themeColor="text1"/>
          <w:sz w:val="30"/>
          <w:szCs w:val="32"/>
          <w14:textFill>
            <w14:solidFill>
              <w14:schemeClr w14:val="tx1"/>
            </w14:solidFill>
          </w14:textFill>
        </w:rPr>
        <w:t>第</w:t>
      </w:r>
      <w:r>
        <w:rPr>
          <w:rFonts w:hint="eastAsia" w:ascii="黑体" w:eastAsia="黑体"/>
          <w:color w:val="000000" w:themeColor="text1"/>
          <w:sz w:val="30"/>
          <w:szCs w:val="32"/>
          <w:lang w:val="en-US" w:eastAsia="zh-CN"/>
          <w14:textFill>
            <w14:solidFill>
              <w14:schemeClr w14:val="tx1"/>
            </w14:solidFill>
          </w14:textFill>
        </w:rPr>
        <w:t>11</w:t>
      </w:r>
      <w:r>
        <w:rPr>
          <w:rFonts w:hint="eastAsia" w:ascii="黑体" w:eastAsia="黑体"/>
          <w:color w:val="000000" w:themeColor="text1"/>
          <w:sz w:val="30"/>
          <w:szCs w:val="32"/>
          <w14:textFill>
            <w14:solidFill>
              <w14:schemeClr w14:val="tx1"/>
            </w14:solidFill>
          </w14:textFill>
        </w:rPr>
        <w:t>期</w:t>
      </w:r>
      <w:r>
        <w:rPr>
          <w:rFonts w:hint="eastAsia" w:ascii="楷体_GB2312" w:eastAsia="楷体_GB2312"/>
          <w:color w:val="000000" w:themeColor="text1"/>
          <w:sz w:val="30"/>
          <w:szCs w:val="32"/>
          <w14:textFill>
            <w14:solidFill>
              <w14:schemeClr w14:val="tx1"/>
            </w14:solidFill>
          </w14:textFill>
        </w:rPr>
        <w:t>（总第</w:t>
      </w:r>
      <w:r>
        <w:rPr>
          <w:rFonts w:hint="eastAsia" w:ascii="楷体_GB2312" w:eastAsia="楷体_GB2312"/>
          <w:color w:val="000000" w:themeColor="text1"/>
          <w:sz w:val="30"/>
          <w:szCs w:val="32"/>
          <w:lang w:eastAsia="zh-CN"/>
          <w14:textFill>
            <w14:solidFill>
              <w14:schemeClr w14:val="tx1"/>
            </w14:solidFill>
          </w14:textFill>
        </w:rPr>
        <w:t>三十一</w:t>
      </w:r>
      <w:r>
        <w:rPr>
          <w:rFonts w:hint="eastAsia" w:ascii="楷体_GB2312" w:eastAsia="楷体_GB2312"/>
          <w:color w:val="000000" w:themeColor="text1"/>
          <w:sz w:val="30"/>
          <w:szCs w:val="32"/>
          <w14:textFill>
            <w14:solidFill>
              <w14:schemeClr w14:val="tx1"/>
            </w14:solidFill>
          </w14:textFill>
        </w:rPr>
        <w:t>期）</w:t>
      </w:r>
    </w:p>
    <w:p>
      <w:pPr>
        <w:spacing w:afterLines="100"/>
        <w:jc w:val="center"/>
        <w:rPr>
          <w:rFonts w:ascii="楷体_GB2312" w:eastAsia="楷体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4449445</wp:posOffset>
                </wp:positionH>
                <wp:positionV relativeFrom="paragraph">
                  <wp:posOffset>396240</wp:posOffset>
                </wp:positionV>
                <wp:extent cx="0" cy="6187440"/>
                <wp:effectExtent l="7620" t="0" r="11430" b="3810"/>
                <wp:wrapNone/>
                <wp:docPr id="3" name="直线 3"/>
                <wp:cNvGraphicFramePr/>
                <a:graphic xmlns:a="http://schemas.openxmlformats.org/drawingml/2006/main">
                  <a:graphicData uri="http://schemas.microsoft.com/office/word/2010/wordprocessingShape">
                    <wps:wsp>
                      <wps:cNvCnPr/>
                      <wps:spPr>
                        <a:xfrm>
                          <a:off x="0" y="0"/>
                          <a:ext cx="0" cy="618744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350.35pt;margin-top:31.2pt;height:487.2pt;width:0pt;z-index:251660288;mso-width-relative:page;mso-height-relative:page;" filled="f" stroked="t" coordsize="21600,21600" o:gfxdata="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jtoLYAAAACwEAAA8AAAAAAAAAAQAgAAAAIgAAAGRycy9kb3ducmV2LnhtbFBLAQIUABQA&#10;AAAIAIdO4kCMhEyu8AEAAOoDAAAOAAAAAAAAAAEAIAAAACcBAABkcnMvZTJvRG9jLnhtbFBLBQYA&#10;AAAABgAGAFkBAACJBQAAAAA=&#10;">
                <v:fill on="f" focussize="0,0"/>
                <v:stroke weight="1.25pt" color="#FF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4"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31.2pt;height:0pt;width:441pt;z-index:251661312;mso-width-relative:page;mso-height-relative:page;" filled="f" stroked="t" coordsize="21600,21600" o:gfxdata="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e+9WNUAAAAGAQAADwAAAAAAAAABACAAAAAiAAAAZHJzL2Rvd25yZXYueG1sUEsBAhQAFAAAAAgA&#10;h07iQAnZfPDvAQAA6gMAAA4AAAAAAAAAAQAgAAAAJAEAAGRycy9lMm9Eb2MueG1sUEsFBgAAAAAG&#10;AAYAWQEAAIUFAAAAAA==&#10;">
                <v:fill on="f" focussize="0,0"/>
                <v:stroke weight="1.5pt" color="#FF0000" joinstyle="round"/>
                <v:imagedata o:title=""/>
                <o:lock v:ext="edit" aspectratio="f"/>
              </v:line>
            </w:pict>
          </mc:Fallback>
        </mc:AlternateContent>
      </w:r>
      <w:r>
        <w:rPr>
          <w:rFonts w:hint="eastAsia" w:ascii="楷体_GB2312" w:eastAsia="楷体_GB2312"/>
          <w:color w:val="000000" w:themeColor="text1"/>
          <w:sz w:val="32"/>
          <w:szCs w:val="32"/>
          <w14:textFill>
            <w14:solidFill>
              <w14:schemeClr w14:val="tx1"/>
            </w14:solidFill>
          </w14:textFill>
        </w:rPr>
        <w:t>泾县政协办公室编印</w:t>
      </w:r>
      <w:r>
        <w:rPr>
          <w:rFonts w:ascii="楷体_GB2312" w:eastAsia="楷体_GB2312"/>
          <w:color w:val="000000" w:themeColor="text1"/>
          <w:sz w:val="32"/>
          <w:szCs w:val="32"/>
          <w14:textFill>
            <w14:solidFill>
              <w14:schemeClr w14:val="tx1"/>
            </w14:solidFill>
          </w14:textFill>
        </w:rPr>
        <w:t xml:space="preserve">                  202</w:t>
      </w:r>
      <w:r>
        <w:rPr>
          <w:rFonts w:hint="eastAsia" w:ascii="楷体_GB2312" w:eastAsia="楷体_GB2312"/>
          <w:color w:val="000000" w:themeColor="text1"/>
          <w:sz w:val="32"/>
          <w:szCs w:val="32"/>
          <w14:textFill>
            <w14:solidFill>
              <w14:schemeClr w14:val="tx1"/>
            </w14:solidFill>
          </w14:textFill>
        </w:rPr>
        <w:t>3年</w:t>
      </w:r>
      <w:r>
        <w:rPr>
          <w:rFonts w:hint="eastAsia" w:ascii="楷体_GB2312" w:eastAsia="楷体_GB2312"/>
          <w:color w:val="000000" w:themeColor="text1"/>
          <w:sz w:val="32"/>
          <w:szCs w:val="32"/>
          <w:lang w:val="en-US" w:eastAsia="zh-CN"/>
          <w14:textFill>
            <w14:solidFill>
              <w14:schemeClr w14:val="tx1"/>
            </w14:solidFill>
          </w14:textFill>
        </w:rPr>
        <w:t>9</w:t>
      </w:r>
      <w:r>
        <w:rPr>
          <w:rFonts w:hint="eastAsia" w:ascii="楷体_GB2312" w:eastAsia="楷体_GB2312"/>
          <w:color w:val="000000" w:themeColor="text1"/>
          <w:sz w:val="32"/>
          <w:szCs w:val="32"/>
          <w14:textFill>
            <w14:solidFill>
              <w14:schemeClr w14:val="tx1"/>
            </w14:solidFill>
          </w14:textFill>
        </w:rPr>
        <w:t>月</w:t>
      </w:r>
      <w:r>
        <w:rPr>
          <w:rFonts w:hint="eastAsia" w:ascii="楷体_GB2312" w:eastAsia="楷体_GB2312"/>
          <w:color w:val="000000" w:themeColor="text1"/>
          <w:sz w:val="32"/>
          <w:szCs w:val="32"/>
          <w:lang w:val="en-US" w:eastAsia="zh-CN"/>
          <w14:textFill>
            <w14:solidFill>
              <w14:schemeClr w14:val="tx1"/>
            </w14:solidFill>
          </w14:textFill>
        </w:rPr>
        <w:t>28</w:t>
      </w:r>
      <w:r>
        <w:rPr>
          <w:rFonts w:hint="eastAsia" w:ascii="楷体_GB2312" w:eastAsia="楷体_GB2312"/>
          <w:color w:val="000000" w:themeColor="text1"/>
          <w:sz w:val="32"/>
          <w:szCs w:val="32"/>
          <w14:textFill>
            <w14:solidFill>
              <w14:schemeClr w14:val="tx1"/>
            </w14:solidFill>
          </w14:textFill>
        </w:rPr>
        <w:t>日</w:t>
      </w:r>
    </w:p>
    <w:p>
      <w:pPr>
        <w:spacing w:line="440" w:lineRule="exact"/>
        <w:jc w:val="center"/>
        <w:rPr>
          <w:rFonts w:ascii="楷体_GB2312" w:hAnsi="华文中宋" w:eastAsia="楷体_GB2312"/>
          <w:b/>
          <w:color w:val="000000" w:themeColor="text1"/>
          <w:spacing w:val="6"/>
          <w:sz w:val="32"/>
          <w:szCs w:val="32"/>
          <w14:textFill>
            <w14:solidFill>
              <w14:schemeClr w14:val="tx1"/>
            </w14:solidFill>
          </w14:textFill>
        </w:rPr>
      </w:pPr>
    </w:p>
    <w:p>
      <w:pPr>
        <w:spacing w:line="600" w:lineRule="exact"/>
        <w:ind w:right="1953" w:rightChars="930" w:firstLine="640" w:firstLineChars="200"/>
        <w:rPr>
          <w:rFonts w:hint="eastAsia" w:ascii="仿宋_GB2312" w:hAnsi="Helvetica" w:eastAsia="仿宋_GB2312" w:cs="Helvetica"/>
          <w:bCs/>
          <w:sz w:val="32"/>
          <w:szCs w:val="32"/>
          <w:lang w:eastAsia="zh-CN"/>
        </w:rPr>
      </w:pPr>
    </w:p>
    <w:p>
      <w:pPr>
        <w:spacing w:line="600" w:lineRule="exact"/>
        <w:ind w:right="1953" w:rightChars="930" w:firstLine="640" w:firstLineChars="200"/>
        <w:rPr>
          <w:rFonts w:ascii="仿宋_GB2312" w:hAnsi="Helvetica" w:eastAsia="仿宋_GB2312" w:cs="Helvetica"/>
          <w:bCs/>
          <w:color w:val="000000" w:themeColor="text1"/>
          <w:sz w:val="32"/>
          <w:szCs w:val="32"/>
          <w14:textFill>
            <w14:solidFill>
              <w14:schemeClr w14:val="tx1"/>
            </w14:solidFill>
          </w14:textFill>
        </w:rPr>
      </w:pPr>
      <w:r>
        <w:rPr>
          <w:rFonts w:hint="eastAsia" w:ascii="仿宋_GB2312" w:hAnsi="Helvetica" w:eastAsia="仿宋_GB2312" w:cs="Helvetica"/>
          <w:bCs/>
          <w:sz w:val="32"/>
          <w:szCs w:val="32"/>
          <w:lang w:val="en-US" w:eastAsia="zh-CN"/>
        </w:rPr>
        <w:t>8月中旬，县政协开展“十大暖民心行动”专题社情民意信息征集活动。活动开展以来，</w:t>
      </w:r>
      <w:r>
        <w:rPr>
          <w:rFonts w:hint="eastAsia" w:ascii="仿宋_GB2312" w:hAnsi="Helvetica" w:eastAsia="仿宋_GB2312" w:cs="Helvetica"/>
          <w:bCs/>
          <w:sz w:val="32"/>
          <w:szCs w:val="32"/>
          <w:lang w:eastAsia="zh-CN"/>
        </w:rPr>
        <w:t>广大县政协委员</w:t>
      </w:r>
      <w:r>
        <w:rPr>
          <w:rFonts w:hint="eastAsia" w:ascii="仿宋_GB2312" w:hAnsi="Helvetica" w:eastAsia="仿宋_GB2312" w:cs="Helvetica"/>
          <w:bCs/>
          <w:sz w:val="32"/>
          <w:szCs w:val="32"/>
          <w:lang w:val="en-US" w:eastAsia="zh-CN"/>
        </w:rPr>
        <w:t>围绕我县实施“十大暖民心行动”</w:t>
      </w:r>
      <w:r>
        <w:rPr>
          <w:rFonts w:hint="eastAsia" w:ascii="仿宋_GB2312" w:hAnsi="Helvetica" w:eastAsia="仿宋_GB2312" w:cs="Helvetica"/>
          <w:bCs/>
          <w:sz w:val="32"/>
          <w:szCs w:val="32"/>
          <w:lang w:eastAsia="zh-CN"/>
        </w:rPr>
        <w:t>，通过</w:t>
      </w:r>
      <w:r>
        <w:rPr>
          <w:rFonts w:hint="eastAsia" w:ascii="仿宋_GB2312" w:hAnsi="Helvetica" w:eastAsia="仿宋_GB2312" w:cs="Helvetica"/>
          <w:bCs/>
          <w:sz w:val="32"/>
          <w:szCs w:val="32"/>
          <w:lang w:val="en-US" w:eastAsia="zh-CN"/>
        </w:rPr>
        <w:t>走访群众、</w:t>
      </w:r>
      <w:r>
        <w:rPr>
          <w:rFonts w:hint="eastAsia" w:ascii="仿宋_GB2312" w:hAnsi="Helvetica" w:eastAsia="仿宋_GB2312" w:cs="Helvetica"/>
          <w:bCs/>
          <w:sz w:val="32"/>
          <w:szCs w:val="32"/>
          <w:lang w:eastAsia="zh-CN"/>
        </w:rPr>
        <w:t>实地调研、</w:t>
      </w:r>
      <w:r>
        <w:rPr>
          <w:rFonts w:hint="eastAsia" w:ascii="仿宋_GB2312" w:hAnsi="Helvetica" w:eastAsia="仿宋_GB2312" w:cs="Helvetica"/>
          <w:bCs/>
          <w:sz w:val="32"/>
          <w:szCs w:val="32"/>
          <w:lang w:val="en-US" w:eastAsia="zh-CN"/>
        </w:rPr>
        <w:t>座谈交流</w:t>
      </w:r>
      <w:r>
        <w:rPr>
          <w:rFonts w:hint="eastAsia" w:ascii="仿宋_GB2312" w:hAnsi="Helvetica" w:eastAsia="仿宋_GB2312" w:cs="Helvetica"/>
          <w:bCs/>
          <w:sz w:val="32"/>
          <w:szCs w:val="32"/>
          <w:lang w:eastAsia="zh-CN"/>
        </w:rPr>
        <w:t>等形式，</w:t>
      </w:r>
      <w:r>
        <w:rPr>
          <w:rFonts w:hint="eastAsia" w:ascii="仿宋_GB2312" w:hAnsi="Helvetica" w:eastAsia="仿宋_GB2312" w:cs="Helvetica"/>
          <w:bCs/>
          <w:sz w:val="32"/>
          <w:szCs w:val="32"/>
          <w:lang w:val="en-US" w:eastAsia="zh-CN"/>
        </w:rPr>
        <w:t>广泛收集社情民意。</w:t>
      </w:r>
      <w:r>
        <w:rPr>
          <w:rFonts w:hint="eastAsia" w:ascii="仿宋_GB2312" w:hAnsi="Helvetica" w:eastAsia="仿宋_GB2312" w:cs="Helvetica"/>
          <w:bCs/>
          <w:sz w:val="32"/>
          <w:szCs w:val="32"/>
          <w:lang w:eastAsia="zh-CN"/>
        </w:rPr>
        <w:t>现将</w:t>
      </w:r>
      <w:r>
        <w:rPr>
          <w:rFonts w:hint="eastAsia" w:ascii="仿宋_GB2312" w:hAnsi="Helvetica" w:eastAsia="仿宋_GB2312" w:cs="Helvetica"/>
          <w:bCs/>
          <w:sz w:val="32"/>
          <w:szCs w:val="32"/>
          <w:lang w:val="en-US" w:eastAsia="zh-CN"/>
        </w:rPr>
        <w:t>委员反映</w:t>
      </w:r>
      <w:r>
        <w:rPr>
          <w:rFonts w:hint="eastAsia" w:ascii="仿宋_GB2312" w:hAnsi="Helvetica" w:eastAsia="仿宋_GB2312" w:cs="Helvetica"/>
          <w:bCs/>
          <w:sz w:val="32"/>
          <w:szCs w:val="32"/>
          <w:lang w:eastAsia="zh-CN"/>
        </w:rPr>
        <w:t>的社情民意随文报送，供相关部门阅研，办理结果及采纳情况望函告</w:t>
      </w:r>
      <w:r>
        <w:rPr>
          <w:rFonts w:hint="eastAsia" w:ascii="仿宋_GB2312" w:hAnsi="Helvetica" w:eastAsia="仿宋_GB2312" w:cs="Helvetica"/>
          <w:bCs/>
          <w:sz w:val="32"/>
          <w:szCs w:val="32"/>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Helvetica" w:eastAsia="仿宋_GB2312" w:cs="Helvetica"/>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Helvetica" w:eastAsia="仿宋_GB2312" w:cs="Helvetica"/>
          <w:bCs/>
          <w:color w:val="000000" w:themeColor="text1"/>
          <w:sz w:val="32"/>
          <w:szCs w:val="32"/>
          <w14:textFill>
            <w14:solidFill>
              <w14:schemeClr w14:val="tx1"/>
            </w14:solidFill>
          </w14:textFill>
        </w:rPr>
      </w:pPr>
      <w:r>
        <w:rPr>
          <w:rFonts w:hint="eastAsia" w:ascii="仿宋_GB2312" w:hAnsi="Helvetica" w:eastAsia="仿宋_GB2312" w:cs="Helvetica"/>
          <w:bCs/>
          <w:color w:val="000000" w:themeColor="text1"/>
          <w:sz w:val="32"/>
          <w:szCs w:val="32"/>
          <w14:textFill>
            <w14:solidFill>
              <w14:schemeClr w14:val="tx1"/>
            </w14:solidFill>
          </w14:textFill>
        </w:rPr>
        <w:t>附：社情民意信息</w:t>
      </w:r>
    </w:p>
    <w:p>
      <w:pPr>
        <w:spacing w:line="240" w:lineRule="exact"/>
        <w:rPr>
          <w:rFonts w:ascii="仿宋_GB2312" w:hAnsi="Helvetica" w:eastAsia="仿宋_GB2312" w:cs="Helvetica"/>
          <w:bCs/>
          <w:color w:val="000000" w:themeColor="text1"/>
          <w:sz w:val="32"/>
          <w:szCs w:val="32"/>
          <w14:textFill>
            <w14:solidFill>
              <w14:schemeClr w14:val="tx1"/>
            </w14:solidFill>
          </w14:textFill>
        </w:rPr>
      </w:pPr>
    </w:p>
    <w:p>
      <w:pPr>
        <w:spacing w:line="600" w:lineRule="exact"/>
        <w:jc w:val="center"/>
        <w:rPr>
          <w:rFonts w:ascii="华文中宋" w:hAnsi="华文中宋" w:eastAsia="华文中宋"/>
          <w:b/>
          <w:color w:val="000000" w:themeColor="text1"/>
          <w:sz w:val="44"/>
          <w:szCs w:val="44"/>
          <w14:textFill>
            <w14:solidFill>
              <w14:schemeClr w14:val="tx1"/>
            </w14:solidFill>
          </w14:textFill>
        </w:rPr>
      </w:pPr>
    </w:p>
    <w:p>
      <w:pPr>
        <w:spacing w:line="600" w:lineRule="exact"/>
        <w:jc w:val="center"/>
        <w:rPr>
          <w:rFonts w:ascii="华文中宋" w:hAnsi="华文中宋" w:eastAsia="华文中宋"/>
          <w:b/>
          <w:color w:val="000000" w:themeColor="text1"/>
          <w:sz w:val="44"/>
          <w:szCs w:val="44"/>
          <w14:textFill>
            <w14:solidFill>
              <w14:schemeClr w14:val="tx1"/>
            </w14:solidFill>
          </w14:textFill>
        </w:rPr>
      </w:pPr>
    </w:p>
    <w:p>
      <w:pPr>
        <w:spacing w:line="600" w:lineRule="exact"/>
        <w:rPr>
          <w:rFonts w:ascii="华文中宋" w:hAnsi="华文中宋" w:eastAsia="华文中宋"/>
          <w:b/>
          <w:color w:val="000000" w:themeColor="text1"/>
          <w:sz w:val="44"/>
          <w:szCs w:val="44"/>
          <w14:textFill>
            <w14:solidFill>
              <w14:schemeClr w14:val="tx1"/>
            </w14:solidFill>
          </w14:textFill>
        </w:rPr>
      </w:pPr>
    </w:p>
    <w:p>
      <w:pPr>
        <w:spacing w:line="600" w:lineRule="exact"/>
        <w:rPr>
          <w:rFonts w:ascii="华文中宋" w:hAnsi="华文中宋" w:eastAsia="华文中宋"/>
          <w:b/>
          <w:color w:val="000000" w:themeColor="text1"/>
          <w:sz w:val="44"/>
          <w:szCs w:val="44"/>
          <w14:textFill>
            <w14:solidFill>
              <w14:schemeClr w14:val="tx1"/>
            </w14:solidFill>
          </w14:textFill>
        </w:rPr>
      </w:pPr>
    </w:p>
    <w:p>
      <w:pPr>
        <w:spacing w:line="600" w:lineRule="exact"/>
        <w:jc w:val="center"/>
        <w:rPr>
          <w:rFonts w:ascii="华文中宋" w:hAnsi="华文中宋" w:eastAsia="华文中宋"/>
          <w:b/>
          <w:color w:val="000000" w:themeColor="text1"/>
          <w:spacing w:val="20"/>
          <w:sz w:val="44"/>
          <w:szCs w:val="44"/>
          <w14:textFill>
            <w14:solidFill>
              <w14:schemeClr w14:val="tx1"/>
            </w14:solidFill>
          </w14:textFill>
        </w:rPr>
      </w:pPr>
    </w:p>
    <w:p>
      <w:pP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sz w:val="32"/>
          <w:szCs w:val="40"/>
          <w:lang w:val="en-US" w:eastAsia="zh-CN"/>
          <w14:textFill>
            <w14:solidFill>
              <w14:schemeClr w14:val="tx1"/>
            </w14:solidFill>
          </w14:textFill>
        </w:rPr>
      </w:pPr>
      <w:r>
        <w:rPr>
          <w:rFonts w:hint="eastAsia" w:ascii="黑体" w:hAnsi="黑体" w:eastAsia="黑体" w:cs="黑体"/>
          <w:b w:val="0"/>
          <w:bCs w:val="0"/>
          <w:color w:val="000000" w:themeColor="text1"/>
          <w:sz w:val="32"/>
          <w:szCs w:val="40"/>
          <w:lang w:val="en-US" w:eastAsia="zh-CN"/>
          <w14:textFill>
            <w14:solidFill>
              <w14:schemeClr w14:val="tx1"/>
            </w14:solidFill>
          </w14:textFill>
        </w:rPr>
        <w:t>一、关于多管齐下促进就业的建议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殷红波委员反映：</w:t>
      </w:r>
      <w:r>
        <w:rPr>
          <w:rFonts w:hint="eastAsia" w:ascii="仿宋_GB2312" w:hAnsi="仿宋_GB2312" w:eastAsia="仿宋_GB2312" w:cs="仿宋_GB2312"/>
          <w:sz w:val="32"/>
          <w:szCs w:val="32"/>
          <w:lang w:val="en-US" w:eastAsia="zh-CN"/>
        </w:rPr>
        <w:t>近年来，我县坚持以习近平新时代中国特色社会主义思想和党的二十大精神为指导，认真贯彻落实中央和省、市关于稳就业的各项决策部署，围绕实现更高质量和更加充分就业的目标，聚焦五个“强化”，创新举措、精准施策，推动就业促进暖民心行动走深走实，全力促进就业稳定和民生改善。2023年度，全县共发放脱贫人口就业帮扶项目资金266.2万元，失业保险费稳岗返还421.23万元，开展创业培训358人，扶持创业124人，开发公益性岗位342个，完成失业人员再就业2164人，就业困难人员再就业419人。目前尚存在一些问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 xml:space="preserve">宣传力度不够。职能部门宣传政策欠深入，而部分企业负责人的政策意识不强，学习了解政策不透彻，导致优惠政策落实难到位。 </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 xml:space="preserve">就业结构性矛盾突出。部分企业一线工人缺乏，与农村劳动力、失业人员、大中专毕业生等就业群体就业难并存，就业结构性矛盾突出。 </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企业的各种待遇和工作生活环境条件与就业人员要求差距较远，招工和就业困难。</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 xml:space="preserve">特殊群体就业压力大。女45岁以上，男50岁以上的失业人员、贫困劳动力、残疾人等，存在“等靠要”的思想，就业再就业难。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为此，建议：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一是加大政策宣传力度。</w:t>
      </w:r>
      <w:r>
        <w:rPr>
          <w:rFonts w:hint="eastAsia" w:ascii="仿宋_GB2312" w:hAnsi="仿宋_GB2312" w:eastAsia="仿宋_GB2312" w:cs="仿宋_GB2312"/>
          <w:b w:val="0"/>
          <w:bCs w:val="0"/>
          <w:sz w:val="32"/>
          <w:szCs w:val="32"/>
          <w:lang w:val="en-US" w:eastAsia="zh-CN"/>
        </w:rPr>
        <w:t xml:space="preserve">通过开展就业宣传周、职业技能大赛、创业大赛、进企业宣传服务等活动，营造有利于促进就业的社会环境，努力形成全社会关心支持就业工作的良好局面。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二是多渠道扩大就业。</w:t>
      </w:r>
      <w:r>
        <w:rPr>
          <w:rFonts w:hint="eastAsia" w:ascii="仿宋_GB2312" w:hAnsi="仿宋_GB2312" w:eastAsia="仿宋_GB2312" w:cs="仿宋_GB2312"/>
          <w:b w:val="0"/>
          <w:bCs w:val="0"/>
          <w:sz w:val="32"/>
          <w:szCs w:val="32"/>
          <w:lang w:val="en-US" w:eastAsia="zh-CN"/>
        </w:rPr>
        <w:t xml:space="preserve">发挥中小企业就业主渠道作用，进一步营造有利于中小企业发展的良好环境，鼓励引导非公有制经济发展，实施更加有利于促进就业的财税和金融扶持政策，努力增加就业容量。发展吸纳就业能力强的产业，加强对灵活就业、新就业形态的支持，促进劳动者自主就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三是加强就业培训。</w:t>
      </w:r>
      <w:r>
        <w:rPr>
          <w:rFonts w:hint="eastAsia" w:ascii="仿宋_GB2312" w:hAnsi="仿宋_GB2312" w:eastAsia="仿宋_GB2312" w:cs="仿宋_GB2312"/>
          <w:b w:val="0"/>
          <w:bCs w:val="0"/>
          <w:sz w:val="32"/>
          <w:szCs w:val="32"/>
          <w:lang w:val="en-US" w:eastAsia="zh-CN"/>
        </w:rPr>
        <w:t xml:space="preserve">逐步将职业技能培训推向市场化、社会化，指导社会培训机构通过校企合作、订单式培训、定岗式培训等多种模式，开展多层次、多形式的职业技能培训，建立以市场为导向，与产业结构相适应，与就业相结合的职业技能培训体系。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四是推进创业带动就业</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加强对大学生、失业人员和农民工等创业者的创业培训，对创业者进行跟踪帮扶指导，落实好创业担保贷款、创业补贴等扶持政策，提高创业成功率，推动以创业带动就业。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五是加强对企业的监督和服务。</w:t>
      </w:r>
      <w:r>
        <w:rPr>
          <w:rFonts w:hint="eastAsia" w:ascii="仿宋_GB2312" w:hAnsi="仿宋_GB2312" w:eastAsia="仿宋_GB2312" w:cs="仿宋_GB2312"/>
          <w:b w:val="0"/>
          <w:bCs w:val="0"/>
          <w:sz w:val="32"/>
          <w:szCs w:val="32"/>
          <w:lang w:val="en-US" w:eastAsia="zh-CN"/>
        </w:rPr>
        <w:t xml:space="preserve">引导企业依法依规依政策落实国家和省、市、县的相关法律政策，改善工作环境和条件，提高职工各种福利待遇，实现企业和员工利益双赢的局面。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六是深入开展就业帮扶。</w:t>
      </w:r>
      <w:r>
        <w:rPr>
          <w:rFonts w:hint="eastAsia" w:ascii="仿宋_GB2312" w:hAnsi="仿宋_GB2312" w:eastAsia="仿宋_GB2312" w:cs="仿宋_GB2312"/>
          <w:b w:val="0"/>
          <w:bCs w:val="0"/>
          <w:sz w:val="32"/>
          <w:szCs w:val="32"/>
          <w:lang w:val="en-US" w:eastAsia="zh-CN"/>
        </w:rPr>
        <w:t>按照困难人员实际情况，定制培训计划，开展精准培训，免费对困难人员开展装饰装修、电子电器、茶叶加工、传统种植、特色种养等各类就业技能和实用技术培训。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（委员联系方式：18905638979 建议承办单位：县人社局）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600" w:lineRule="exact"/>
        <w:ind w:right="0" w:firstLine="643" w:firstLineChars="200"/>
        <w:jc w:val="both"/>
        <w:rPr>
          <w:rFonts w:hint="eastAsia" w:ascii="楷体_GB2312" w:hAnsi="楷体_GB2312" w:eastAsia="楷体_GB2312" w:cs="楷体_GB2312"/>
          <w:b/>
          <w:bCs/>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600" w:lineRule="exact"/>
        <w:ind w:right="0"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二、关于做好丁家桥镇宣纸书画纸行业“就业促进行动”的建议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600" w:lineRule="exact"/>
        <w:ind w:right="0"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张汉荣委员反映：</w:t>
      </w:r>
      <w:r>
        <w:rPr>
          <w:rFonts w:hint="eastAsia" w:ascii="仿宋_GB2312" w:hAnsi="仿宋_GB2312" w:eastAsia="仿宋_GB2312" w:cs="仿宋_GB2312"/>
          <w:b w:val="0"/>
          <w:bCs w:val="0"/>
          <w:kern w:val="2"/>
          <w:sz w:val="32"/>
          <w:szCs w:val="32"/>
          <w:lang w:val="en-US" w:eastAsia="zh-CN" w:bidi="ar-SA"/>
        </w:rPr>
        <w:t>丁家桥镇作为“中国宣纸、书画纸基地”，先后被省政府授予“中国宣纸书画纸生产加工产业集群乡镇”、“安徽省产业集群镇示范点”等称号，镇内约有宣纸书画纸生产加工销售企业241家，个体生产户1240家，相关从业人员5000余人。宣纸书画行业从业人员的工种主要集中在制造业的捞纸、晒纸，批发零售业的客服、电商运营、主播等，但因地理位置不在城区、信息畅通度欠佳，造成企业招工与求职者就业需求的匹配仍有难度。</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overflowPunct/>
        <w:topLinePunct w:val="0"/>
        <w:bidi w:val="0"/>
        <w:spacing w:before="0" w:beforeAutospacing="0" w:after="0" w:afterAutospacing="0" w:line="600" w:lineRule="exact"/>
        <w:ind w:right="0" w:rightChars="0" w:firstLine="640" w:firstLineChars="20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目前存在的问题：</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泾县—丁家桥的城乡公交车班次较少、公交车到站时间不明确且无实时查询的途径。</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丁家桥镇作为紧邻城区的乡镇，距离仅10公里左右，如果在交通出行上可以给予更多的便利，无疑会减少求职者的出行顾虑。</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在招聘信息发布渠道狭窄。虽然我县在各类新媒体上均有与招聘相关的公众号，但缺乏一定的信息整合力，年纪稍大的求职者在各个APP和网站上获取招聘信息存在一定困难。现就进一步做好宣纸书画纸行业的“就业促进行动”，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完善“泾县公交”公众号功能。在公众号上补充公交“出发—到站”时间，同步完善站台的“信息通知”功能，方便百姓掌握候车时间。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在丁家桥镇的“宣纸故里”公众号模板新增“就业招聘”板块，由镇“人社所”审核汇总当地企业的招聘信后发布，实时更新，聚力打造“宣传与惠民”于一体的公众号。同时利用镇政府的显示屏定期公开每月汇总的招聘信息，进一步扩大信息的知晓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在丁家桥“宣纸大市场”入口处，新增一处宣传栏，一方面同步企业的招聘信息，另一方面用于通知惠企便民的相关政策。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四是</w:t>
      </w:r>
      <w:r>
        <w:rPr>
          <w:rFonts w:hint="eastAsia" w:ascii="仿宋_GB2312" w:hAnsi="仿宋_GB2312" w:eastAsia="仿宋_GB2312" w:cs="仿宋_GB2312"/>
          <w:b w:val="0"/>
          <w:bCs w:val="0"/>
          <w:kern w:val="2"/>
          <w:sz w:val="32"/>
          <w:szCs w:val="32"/>
          <w:lang w:val="en-US" w:eastAsia="zh-CN" w:bidi="ar-SA"/>
        </w:rPr>
        <w:t>继续加强营商环境包保走访力度，借助县乡两级包保责任制，畅通企业家反映诉求的通道，不断创优营商环境。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（委员联系方式：13605632656  建议承办单位：县人社局、县交运局）</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三、关于支持开设“十二道泾味”主题餐厅的建议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陈星委员反映：</w:t>
      </w:r>
      <w:r>
        <w:rPr>
          <w:rFonts w:hint="eastAsia" w:ascii="仿宋_GB2312" w:hAnsi="仿宋_GB2312" w:eastAsia="仿宋_GB2312" w:cs="仿宋_GB2312"/>
          <w:b w:val="0"/>
          <w:bCs w:val="0"/>
          <w:kern w:val="2"/>
          <w:sz w:val="32"/>
          <w:szCs w:val="32"/>
          <w:lang w:val="en-US" w:eastAsia="zh-CN" w:bidi="ar-SA"/>
        </w:rPr>
        <w:t>泾县的菜肴有着悠久的历史，且极具地方特点。近年来，我县通过举办“皖美好味道·泾有菜肴”美食大赛，评选出代表地方特色、具有独特风味的“十二道泾味”特色菜，受到很多好评。参选的每道菜精选了泾县本地食材，蕴含独特寓意，彰显了博大精深的泾县饮食文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但泾县目前没有能真正体现“十二道泾味”餐饮文化的主题餐厅。外地游客来到泾县后，不能在一家餐厅同时领略泾县菜肴的风味，大部分游客表示如果想充分品尝泾县菜肴，需前往很多家不同饭店，在不方便的同时也让泾县菜肴失去了很好的整体展示机会。为此建议：</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建议采取补助、贴息贷款等形式支持相关市场主体开设以“十二道泾味”命名的餐馆酒店，也可以与现有酒店合作。餐馆酒店以“十二道泾味”为主打菜，让外地游客和本地食客能在一个地点品尝到具有代表性的所有泾县菜肴。</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建议在酒店大厅留有专门的空间，设置“十二道泾味”展示区，以文字、图片以及实物方式，详细介绍“十二道泾味”中每一道菜产生的背景及所在地的风景人文，讲好泾县菜肴的故事及发展历程，让食客在品尝佳肴的同时多多了解泾县的历史和风土人情。</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针对餐馆酒店最重要的主厨团队，建议以公开竞聘方式产生，以能真正代表“十二道泾味”水平为准，同时鼓励厨师团队创新，在做好传统菜的基础上开发出有创意、品位高、口味佳的新泾县菜品。</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四是</w:t>
      </w:r>
      <w:r>
        <w:rPr>
          <w:rFonts w:hint="eastAsia" w:ascii="仿宋_GB2312" w:hAnsi="仿宋_GB2312" w:eastAsia="仿宋_GB2312" w:cs="仿宋_GB2312"/>
          <w:b w:val="0"/>
          <w:bCs w:val="0"/>
          <w:kern w:val="2"/>
          <w:sz w:val="32"/>
          <w:szCs w:val="32"/>
          <w:lang w:val="en-US" w:eastAsia="zh-CN" w:bidi="ar-SA"/>
        </w:rPr>
        <w:t>建议将泾县的一些特色小吃，如锅贴饺、牛肉面、小刀面、大饼等纳入菜谱，同时将香菜、章渡酱菜等地方特色小菜搬上餐桌，让食客全方位体验泾县餐饮的魅力。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五是</w:t>
      </w:r>
      <w:r>
        <w:rPr>
          <w:rFonts w:hint="eastAsia" w:ascii="仿宋_GB2312" w:hAnsi="仿宋_GB2312" w:eastAsia="仿宋_GB2312" w:cs="仿宋_GB2312"/>
          <w:b w:val="0"/>
          <w:bCs w:val="0"/>
          <w:kern w:val="2"/>
          <w:sz w:val="32"/>
          <w:szCs w:val="32"/>
          <w:lang w:val="en-US" w:eastAsia="zh-CN" w:bidi="ar-SA"/>
        </w:rPr>
        <w:t>建议餐馆地点选择在泾县城区，餐馆所在地点应满足交通便利、停车方便的要求。重点是做好宣传推广工作，做好各类媒体，特别是网络短视频媒体的宣传推介，在各平台注册“十二道泾味”官方账号，宣传引导游客建立来泾县必吃“十二道泾味”旅游概念，同时以优质的服务、美味的菜肴给食客留下美好的印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（委员联系方式:13637236199；建议承办单位：县科商经信局、县文旅局</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default"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四、关于为高龄、失能等老年人开展送餐服务的建议</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吴非委员反映：</w:t>
      </w:r>
      <w:r>
        <w:rPr>
          <w:rFonts w:hint="eastAsia" w:ascii="仿宋_GB2312" w:hAnsi="仿宋_GB2312" w:eastAsia="仿宋_GB2312" w:cs="仿宋_GB2312"/>
          <w:b w:val="0"/>
          <w:bCs w:val="0"/>
          <w:kern w:val="2"/>
          <w:sz w:val="32"/>
          <w:szCs w:val="32"/>
          <w:lang w:val="en-US" w:eastAsia="zh-CN" w:bidi="ar-SA"/>
        </w:rPr>
        <w:t>我县从2022年开始推行老年助餐服务工作，全县已建成运营老年食堂（助餐点）51处，其中，城区15处，农村36处。目前，已有6000余名城乡老年人办理了老年助餐卡，实现常态化供餐，共提供老年人助餐服务30余万人次，支出助餐补贴60余万元。在走访中，群众普遍反映，政府推行老年助餐有效解决了老年人就近吃饭问题，达到了暖胃又暖心的效果。但是，在调研过程中，我们也发现一些问题：对助餐服务需求最为迫切的高龄、失能、独居、居住偏远的老年人往往难以享受到含有政府补贴的助餐服务，形成养老领域政府公共服务不均等、不普及的现象。原因如下：</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目前各级政府只出台了老年助餐服务建设补贴、运营补贴及助餐补贴等相关规定，没有就送餐服务出台相应的指引性意见。基层在鉴别送餐必要性、防范送餐风险、支出送餐费用等方面难以掌握。</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市场监管部门对餐饮单位送餐资质要求过高，绝大多数老年食堂无法达到其送餐标准。</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为老年人送餐环节安全风险较高、人力成本过大，送餐的成本往往高于政府补贴用餐的标准，实现送餐到户难度较大。</w:t>
      </w:r>
    </w:p>
    <w:p>
      <w:pPr>
        <w:keepNext w:val="0"/>
        <w:keepLines w:val="0"/>
        <w:pageBreakBefore w:val="0"/>
        <w:numPr>
          <w:ilvl w:val="0"/>
          <w:numId w:val="0"/>
        </w:numPr>
        <w:wordWrap/>
        <w:topLinePunct w:val="0"/>
        <w:bidi w:val="0"/>
        <w:spacing w:line="60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为此，建议：</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以能力评估为基础，精准确定送餐对象。对享受助餐服务的老年人普遍开展自理能力评估，确定自身确实无法自主前往助餐点就餐，且直系亲属亦无能力送餐的老人为送餐对象。</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以助餐机构为骨干，实施送餐到户补贴。建议县政府尽快出台政策，鼓励助餐机构对经审核有需求的老年人实行送餐到户，并制定具体的补贴办法和标准。</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以志愿服务为补充，开展送餐活动。发挥志愿服务组织人数多、分布广、网络密的优势，开展点对点承包式送餐服务，通过送餐营造尊老敬老氛围。</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四是</w:t>
      </w:r>
      <w:r>
        <w:rPr>
          <w:rFonts w:hint="eastAsia" w:ascii="仿宋_GB2312" w:hAnsi="仿宋_GB2312" w:eastAsia="仿宋_GB2312" w:cs="仿宋_GB2312"/>
          <w:b w:val="0"/>
          <w:bCs w:val="0"/>
          <w:kern w:val="2"/>
          <w:sz w:val="32"/>
          <w:szCs w:val="32"/>
          <w:lang w:val="en-US" w:eastAsia="zh-CN" w:bidi="ar-SA"/>
        </w:rPr>
        <w:t>以配送资质为重点，完善为老送餐流程。建议民政部门与市场监管部门就老年食堂集体用餐配送资质问题开展专题会商攻坚。针对老年群体需要和基层工作实际，在不突破食品安全管理相关要求的前提下，争取采取特事特办的方式，研究制定老年食堂短时间、短距离向其它助餐点配送食品的可行性规范。</w:t>
      </w:r>
    </w:p>
    <w:p>
      <w:pPr>
        <w:keepNext w:val="0"/>
        <w:keepLines w:val="0"/>
        <w:pageBreakBefore w:val="0"/>
        <w:numPr>
          <w:ilvl w:val="0"/>
          <w:numId w:val="0"/>
        </w:numPr>
        <w:wordWrap/>
        <w:topLinePunct w:val="0"/>
        <w:bidi w:val="0"/>
        <w:spacing w:line="60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（委员联系方式：13865323420  建议承办单位：县民政局、市场监管局、团县委、县文明办</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numPr>
          <w:ilvl w:val="0"/>
          <w:numId w:val="0"/>
        </w:numPr>
        <w:wordWrap/>
        <w:topLinePunct w:val="0"/>
        <w:bidi w:val="0"/>
        <w:spacing w:line="600" w:lineRule="exact"/>
        <w:ind w:firstLine="643" w:firstLineChars="200"/>
        <w:jc w:val="both"/>
        <w:rPr>
          <w:rFonts w:hint="eastAsia" w:ascii="楷体_GB2312" w:hAnsi="楷体_GB2312" w:eastAsia="楷体_GB2312" w:cs="楷体_GB2312"/>
          <w:b/>
          <w:bCs/>
          <w:kern w:val="2"/>
          <w:sz w:val="32"/>
          <w:szCs w:val="32"/>
          <w:lang w:val="en-US" w:eastAsia="zh-CN" w:bidi="ar-SA"/>
        </w:rPr>
      </w:pPr>
    </w:p>
    <w:p>
      <w:pPr>
        <w:keepNext w:val="0"/>
        <w:keepLines w:val="0"/>
        <w:pageBreakBefore w:val="0"/>
        <w:numPr>
          <w:ilvl w:val="0"/>
          <w:numId w:val="0"/>
        </w:numPr>
        <w:wordWrap/>
        <w:topLinePunct w:val="0"/>
        <w:bidi w:val="0"/>
        <w:spacing w:line="600" w:lineRule="exact"/>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五、关于加强农村老年助餐服务的建议</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住云岭镇委员活动联络组反映：</w:t>
      </w:r>
      <w:r>
        <w:rPr>
          <w:rFonts w:hint="eastAsia" w:ascii="仿宋_GB2312" w:hAnsi="仿宋_GB2312" w:eastAsia="仿宋_GB2312" w:cs="仿宋_GB2312"/>
          <w:b w:val="0"/>
          <w:bCs w:val="0"/>
          <w:kern w:val="2"/>
          <w:sz w:val="32"/>
          <w:szCs w:val="32"/>
          <w:lang w:val="en-US" w:eastAsia="zh-CN" w:bidi="ar-SA"/>
        </w:rPr>
        <w:t>据全国第七次人口普查数据，我国农村60岁以上的老人占比比城镇高出近8个百分点。为有效应对人口老龄化，</w:t>
      </w:r>
      <w:r>
        <w:rPr>
          <w:rFonts w:hint="default" w:ascii="仿宋_GB2312" w:hAnsi="仿宋_GB2312" w:eastAsia="仿宋_GB2312" w:cs="仿宋_GB2312"/>
          <w:b w:val="0"/>
          <w:bCs w:val="0"/>
          <w:kern w:val="2"/>
          <w:sz w:val="32"/>
          <w:szCs w:val="32"/>
          <w:lang w:val="en-US" w:eastAsia="zh-CN" w:bidi="ar-SA"/>
        </w:rPr>
        <w:t>8</w:t>
      </w:r>
      <w:r>
        <w:rPr>
          <w:rFonts w:hint="eastAsia" w:ascii="仿宋_GB2312" w:hAnsi="仿宋_GB2312" w:eastAsia="仿宋_GB2312" w:cs="仿宋_GB2312"/>
          <w:b w:val="0"/>
          <w:bCs w:val="0"/>
          <w:kern w:val="2"/>
          <w:sz w:val="32"/>
          <w:szCs w:val="32"/>
          <w:lang w:val="en-US" w:eastAsia="zh-CN" w:bidi="ar-SA"/>
        </w:rPr>
        <w:t>月份</w:t>
      </w:r>
      <w:r>
        <w:rPr>
          <w:rFonts w:hint="default" w:ascii="仿宋_GB2312" w:hAnsi="仿宋_GB2312" w:eastAsia="仿宋_GB2312" w:cs="仿宋_GB2312"/>
          <w:b w:val="0"/>
          <w:bCs w:val="0"/>
          <w:kern w:val="2"/>
          <w:sz w:val="32"/>
          <w:szCs w:val="32"/>
          <w:lang w:val="en-US" w:eastAsia="zh-CN" w:bidi="ar-SA"/>
        </w:rPr>
        <w:t>，省委、省政府印发《安徽省加强新时代老龄工作实施方案》，</w:t>
      </w:r>
      <w:r>
        <w:rPr>
          <w:rFonts w:hint="eastAsia" w:ascii="仿宋_GB2312" w:hAnsi="仿宋_GB2312" w:eastAsia="仿宋_GB2312" w:cs="仿宋_GB2312"/>
          <w:b w:val="0"/>
          <w:bCs w:val="0"/>
          <w:kern w:val="2"/>
          <w:sz w:val="32"/>
          <w:szCs w:val="32"/>
          <w:lang w:val="en-US" w:eastAsia="zh-CN" w:bidi="ar-SA"/>
        </w:rPr>
        <w:t>该方案提出，到2025年，建成覆盖城乡、布局均衡、方便可及的老年助餐服务网络。但受交通条件、经济条件的影响，尤其是农村居住分散、商业设施匮乏，往往有钱也买不到服务。为加强农村老年助餐服务，建议：</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一是摸底底数，试点推进。</w:t>
      </w:r>
      <w:r>
        <w:rPr>
          <w:rFonts w:hint="default" w:ascii="仿宋_GB2312" w:hAnsi="仿宋_GB2312" w:eastAsia="仿宋_GB2312" w:cs="仿宋_GB2312"/>
          <w:b w:val="0"/>
          <w:bCs w:val="0"/>
          <w:kern w:val="2"/>
          <w:sz w:val="32"/>
          <w:szCs w:val="32"/>
          <w:lang w:val="en-US" w:eastAsia="zh-CN" w:bidi="ar-SA"/>
        </w:rPr>
        <w:t>首先</w:t>
      </w:r>
      <w:r>
        <w:rPr>
          <w:rFonts w:hint="eastAsia" w:ascii="仿宋_GB2312" w:hAnsi="仿宋_GB2312" w:eastAsia="仿宋_GB2312" w:cs="仿宋_GB2312"/>
          <w:b w:val="0"/>
          <w:bCs w:val="0"/>
          <w:kern w:val="2"/>
          <w:sz w:val="32"/>
          <w:szCs w:val="32"/>
          <w:lang w:val="en-US" w:eastAsia="zh-CN" w:bidi="ar-SA"/>
        </w:rPr>
        <w:t>应</w:t>
      </w:r>
      <w:r>
        <w:rPr>
          <w:rFonts w:hint="default" w:ascii="仿宋_GB2312" w:hAnsi="仿宋_GB2312" w:eastAsia="仿宋_GB2312" w:cs="仿宋_GB2312"/>
          <w:b w:val="0"/>
          <w:bCs w:val="0"/>
          <w:kern w:val="2"/>
          <w:sz w:val="32"/>
          <w:szCs w:val="32"/>
          <w:lang w:val="en-US" w:eastAsia="zh-CN" w:bidi="ar-SA"/>
        </w:rPr>
        <w:t>开展入户调查，摸清有用餐意愿老人数量</w:t>
      </w:r>
      <w:r>
        <w:rPr>
          <w:rFonts w:hint="eastAsia" w:ascii="仿宋_GB2312" w:hAnsi="仿宋_GB2312" w:eastAsia="仿宋_GB2312" w:cs="仿宋_GB2312"/>
          <w:b w:val="0"/>
          <w:bCs w:val="0"/>
          <w:kern w:val="2"/>
          <w:sz w:val="32"/>
          <w:szCs w:val="32"/>
          <w:lang w:val="en-US" w:eastAsia="zh-CN" w:bidi="ar-SA"/>
        </w:rPr>
        <w:t>。其次，</w:t>
      </w:r>
      <w:r>
        <w:rPr>
          <w:rFonts w:hint="default" w:ascii="仿宋_GB2312" w:hAnsi="仿宋_GB2312" w:eastAsia="仿宋_GB2312" w:cs="仿宋_GB2312"/>
          <w:b w:val="0"/>
          <w:bCs w:val="0"/>
          <w:kern w:val="2"/>
          <w:sz w:val="32"/>
          <w:szCs w:val="32"/>
          <w:lang w:val="en-US" w:eastAsia="zh-CN" w:bidi="ar-SA"/>
        </w:rPr>
        <w:t>以独居老人多、用餐意愿强的建制村为试点，逐步推开</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充分考虑群众意愿，选择居住相对集中、就餐人数多的村先行试点，量力而行、逐步推进。在</w:t>
      </w:r>
      <w:r>
        <w:rPr>
          <w:rFonts w:hint="eastAsia" w:ascii="仿宋_GB2312" w:hAnsi="仿宋_GB2312" w:eastAsia="仿宋_GB2312" w:cs="仿宋_GB2312"/>
          <w:b w:val="0"/>
          <w:bCs w:val="0"/>
          <w:kern w:val="2"/>
          <w:sz w:val="32"/>
          <w:szCs w:val="32"/>
          <w:lang w:val="en-US" w:eastAsia="zh-CN" w:bidi="ar-SA"/>
        </w:rPr>
        <w:t>初期</w:t>
      </w:r>
      <w:r>
        <w:rPr>
          <w:rFonts w:hint="default" w:ascii="仿宋_GB2312" w:hAnsi="仿宋_GB2312" w:eastAsia="仿宋_GB2312" w:cs="仿宋_GB2312"/>
          <w:b w:val="0"/>
          <w:bCs w:val="0"/>
          <w:kern w:val="2"/>
          <w:sz w:val="32"/>
          <w:szCs w:val="32"/>
          <w:lang w:val="en-US" w:eastAsia="zh-CN" w:bidi="ar-SA"/>
        </w:rPr>
        <w:t>建设阶段，</w:t>
      </w:r>
      <w:r>
        <w:rPr>
          <w:rFonts w:hint="eastAsia" w:ascii="仿宋_GB2312" w:hAnsi="仿宋_GB2312" w:eastAsia="仿宋_GB2312" w:cs="仿宋_GB2312"/>
          <w:b w:val="0"/>
          <w:bCs w:val="0"/>
          <w:kern w:val="2"/>
          <w:sz w:val="32"/>
          <w:szCs w:val="32"/>
          <w:lang w:val="en-US" w:eastAsia="zh-CN" w:bidi="ar-SA"/>
        </w:rPr>
        <w:t>可以选择有意愿的餐饮店进行老年助餐点运营，进行相关补助和优惠。</w:t>
      </w:r>
    </w:p>
    <w:p>
      <w:pPr>
        <w:keepNext w:val="0"/>
        <w:keepLines w:val="0"/>
        <w:pageBreakBefore w:val="0"/>
        <w:numPr>
          <w:ilvl w:val="0"/>
          <w:numId w:val="0"/>
        </w:numPr>
        <w:wordWrap/>
        <w:topLinePunct w:val="0"/>
        <w:bidi w:val="0"/>
        <w:spacing w:line="600" w:lineRule="exact"/>
        <w:ind w:firstLine="643" w:firstLineChars="200"/>
        <w:jc w:val="both"/>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二是积极宣传，鼓励</w:t>
      </w:r>
      <w:r>
        <w:rPr>
          <w:rFonts w:hint="default" w:ascii="楷体_GB2312" w:hAnsi="楷体_GB2312" w:eastAsia="楷体_GB2312" w:cs="楷体_GB2312"/>
          <w:b/>
          <w:bCs/>
          <w:kern w:val="2"/>
          <w:sz w:val="32"/>
          <w:szCs w:val="32"/>
          <w:lang w:val="en-US" w:eastAsia="zh-CN" w:bidi="ar-SA"/>
        </w:rPr>
        <w:t>捐助</w:t>
      </w:r>
      <w:r>
        <w:rPr>
          <w:rFonts w:hint="eastAsia" w:ascii="楷体_GB2312" w:hAnsi="楷体_GB2312" w:eastAsia="楷体_GB2312" w:cs="楷体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加强对老年助餐尤其是农村老年助餐的宣传</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积极动员社会爱心人士</w:t>
      </w:r>
      <w:r>
        <w:rPr>
          <w:rFonts w:hint="default" w:ascii="仿宋_GB2312" w:hAnsi="仿宋_GB2312" w:eastAsia="仿宋_GB2312" w:cs="仿宋_GB2312"/>
          <w:b w:val="0"/>
          <w:bCs w:val="0"/>
          <w:kern w:val="2"/>
          <w:sz w:val="32"/>
          <w:szCs w:val="32"/>
          <w:lang w:val="en-US" w:eastAsia="zh-CN" w:bidi="ar-SA"/>
        </w:rPr>
        <w:t>定向捐赠</w:t>
      </w:r>
      <w:r>
        <w:rPr>
          <w:rFonts w:hint="eastAsia" w:ascii="仿宋_GB2312" w:hAnsi="仿宋_GB2312" w:eastAsia="仿宋_GB2312" w:cs="仿宋_GB2312"/>
          <w:b w:val="0"/>
          <w:bCs w:val="0"/>
          <w:kern w:val="2"/>
          <w:sz w:val="32"/>
          <w:szCs w:val="32"/>
          <w:lang w:val="en-US" w:eastAsia="zh-CN" w:bidi="ar-SA"/>
        </w:rPr>
        <w:t>农村老年助餐活动</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同时，</w:t>
      </w:r>
      <w:r>
        <w:rPr>
          <w:rFonts w:hint="default" w:ascii="仿宋_GB2312" w:hAnsi="仿宋_GB2312" w:eastAsia="仿宋_GB2312" w:cs="仿宋_GB2312"/>
          <w:b w:val="0"/>
          <w:bCs w:val="0"/>
          <w:kern w:val="2"/>
          <w:sz w:val="32"/>
          <w:szCs w:val="32"/>
          <w:lang w:val="en-US" w:eastAsia="zh-CN" w:bidi="ar-SA"/>
        </w:rPr>
        <w:t>在充分尊重捐赠人意愿的基础上，对社会捐赠适当统筹</w:t>
      </w:r>
      <w:r>
        <w:rPr>
          <w:rFonts w:hint="eastAsia" w:ascii="仿宋_GB2312" w:hAnsi="仿宋_GB2312" w:eastAsia="仿宋_GB2312" w:cs="仿宋_GB2312"/>
          <w:b w:val="0"/>
          <w:bCs w:val="0"/>
          <w:kern w:val="2"/>
          <w:sz w:val="32"/>
          <w:szCs w:val="32"/>
          <w:lang w:val="en-US" w:eastAsia="zh-CN" w:bidi="ar-SA"/>
        </w:rPr>
        <w:t>用于农村老年助餐</w:t>
      </w:r>
      <w:r>
        <w:rPr>
          <w:rFonts w:hint="default" w:ascii="仿宋_GB2312" w:hAnsi="仿宋_GB2312" w:eastAsia="仿宋_GB2312" w:cs="仿宋_GB2312"/>
          <w:b w:val="0"/>
          <w:bCs w:val="0"/>
          <w:kern w:val="2"/>
          <w:sz w:val="32"/>
          <w:szCs w:val="32"/>
          <w:lang w:val="en-US" w:eastAsia="zh-CN" w:bidi="ar-SA"/>
        </w:rPr>
        <w:t>。鼓励身体较好的老人协助食堂工作，劳动时间可冲抵部分就餐费用。</w:t>
      </w:r>
    </w:p>
    <w:p>
      <w:pPr>
        <w:keepNext w:val="0"/>
        <w:keepLines w:val="0"/>
        <w:pageBreakBefore w:val="0"/>
        <w:numPr>
          <w:ilvl w:val="0"/>
          <w:numId w:val="0"/>
        </w:numPr>
        <w:wordWrap/>
        <w:topLinePunct w:val="0"/>
        <w:bidi w:val="0"/>
        <w:spacing w:line="600" w:lineRule="exact"/>
        <w:ind w:firstLine="640" w:firstLineChars="200"/>
        <w:jc w:val="both"/>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 </w:t>
      </w:r>
      <w:r>
        <w:rPr>
          <w:rFonts w:hint="eastAsia" w:ascii="楷体_GB2312" w:hAnsi="楷体_GB2312" w:eastAsia="楷体_GB2312" w:cs="楷体_GB2312"/>
          <w:b/>
          <w:bCs/>
          <w:kern w:val="2"/>
          <w:sz w:val="32"/>
          <w:szCs w:val="32"/>
          <w:lang w:val="en-US" w:eastAsia="zh-CN" w:bidi="ar-SA"/>
        </w:rPr>
        <w:t>三是因地制宜，合理建设助餐点。</w:t>
      </w:r>
      <w:r>
        <w:rPr>
          <w:rFonts w:hint="eastAsia" w:ascii="仿宋_GB2312" w:hAnsi="仿宋_GB2312" w:eastAsia="仿宋_GB2312" w:cs="仿宋_GB2312"/>
          <w:b w:val="0"/>
          <w:bCs w:val="0"/>
          <w:kern w:val="2"/>
          <w:sz w:val="32"/>
          <w:szCs w:val="32"/>
          <w:lang w:val="en-US" w:eastAsia="zh-CN" w:bidi="ar-SA"/>
        </w:rPr>
        <w:t>农村老年人助餐点的设置应坚持</w:t>
      </w:r>
      <w:r>
        <w:rPr>
          <w:rFonts w:hint="default" w:ascii="仿宋_GB2312" w:hAnsi="仿宋_GB2312" w:eastAsia="仿宋_GB2312" w:cs="仿宋_GB2312"/>
          <w:b w:val="0"/>
          <w:bCs w:val="0"/>
          <w:kern w:val="2"/>
          <w:sz w:val="32"/>
          <w:szCs w:val="32"/>
          <w:lang w:val="en-US" w:eastAsia="zh-CN" w:bidi="ar-SA"/>
        </w:rPr>
        <w:t>因地制宜，充分挖掘、整合老村部、敬老院、闲置校舍等现有公共服务资源，进行安全、消防和适老化改造，降低建设成本。</w:t>
      </w:r>
    </w:p>
    <w:p>
      <w:pPr>
        <w:keepNext w:val="0"/>
        <w:keepLines w:val="0"/>
        <w:pageBreakBefore w:val="0"/>
        <w:numPr>
          <w:ilvl w:val="0"/>
          <w:numId w:val="0"/>
        </w:numPr>
        <w:wordWrap/>
        <w:topLinePunct w:val="0"/>
        <w:bidi w:val="0"/>
        <w:spacing w:line="60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（委员联系方式：13865327868转；建议承办单位：县民政局、各乡镇政府）</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default"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六、关于在红星广场和开发区建设充电桩的建议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包海涛、孙成义委员反映：</w:t>
      </w:r>
      <w:r>
        <w:rPr>
          <w:rFonts w:hint="eastAsia" w:ascii="仿宋_GB2312" w:hAnsi="仿宋_GB2312" w:eastAsia="仿宋_GB2312" w:cs="仿宋_GB2312"/>
          <w:b w:val="0"/>
          <w:bCs w:val="0"/>
          <w:sz w:val="32"/>
          <w:szCs w:val="32"/>
          <w:lang w:val="en-US" w:eastAsia="zh-CN"/>
        </w:rPr>
        <w:t>随着新能源汽车保有量不断增大，充电桩建设日益成为群众关心的热点问题。红星广场</w:t>
      </w:r>
      <w:r>
        <w:rPr>
          <w:rFonts w:hint="eastAsia" w:ascii="仿宋_GB2312" w:hAnsi="仿宋_GB2312" w:eastAsia="仿宋_GB2312" w:cs="仿宋_GB2312"/>
          <w:b w:val="0"/>
          <w:bCs w:val="0"/>
          <w:sz w:val="32"/>
          <w:szCs w:val="32"/>
        </w:rPr>
        <w:t>作为</w:t>
      </w:r>
      <w:r>
        <w:rPr>
          <w:rFonts w:hint="eastAsia" w:ascii="仿宋_GB2312" w:hAnsi="仿宋_GB2312" w:eastAsia="仿宋_GB2312" w:cs="仿宋_GB2312"/>
          <w:b w:val="0"/>
          <w:bCs w:val="0"/>
          <w:sz w:val="32"/>
          <w:szCs w:val="32"/>
          <w:lang w:val="en-US" w:eastAsia="zh-CN"/>
        </w:rPr>
        <w:t>县城</w:t>
      </w:r>
      <w:r>
        <w:rPr>
          <w:rFonts w:hint="eastAsia" w:ascii="仿宋_GB2312" w:hAnsi="仿宋_GB2312" w:eastAsia="仿宋_GB2312" w:cs="仿宋_GB2312"/>
          <w:b w:val="0"/>
          <w:bCs w:val="0"/>
          <w:sz w:val="32"/>
          <w:szCs w:val="32"/>
        </w:rPr>
        <w:t>中心区域，</w:t>
      </w:r>
      <w:r>
        <w:rPr>
          <w:rFonts w:hint="eastAsia" w:ascii="仿宋_GB2312" w:hAnsi="仿宋_GB2312" w:eastAsia="仿宋_GB2312" w:cs="仿宋_GB2312"/>
          <w:b w:val="0"/>
          <w:bCs w:val="0"/>
          <w:sz w:val="32"/>
          <w:szCs w:val="32"/>
          <w:lang w:val="en-US" w:eastAsia="zh-CN"/>
        </w:rPr>
        <w:t>又是县政府所在位置，商业业态齐全，</w:t>
      </w:r>
      <w:r>
        <w:rPr>
          <w:rFonts w:hint="eastAsia" w:ascii="仿宋_GB2312" w:hAnsi="仿宋_GB2312" w:eastAsia="仿宋_GB2312" w:cs="仿宋_GB2312"/>
          <w:b w:val="0"/>
          <w:bCs w:val="0"/>
          <w:sz w:val="32"/>
          <w:szCs w:val="32"/>
        </w:rPr>
        <w:t>人流量大，附近</w:t>
      </w:r>
      <w:r>
        <w:rPr>
          <w:rFonts w:hint="eastAsia" w:ascii="仿宋_GB2312" w:hAnsi="仿宋_GB2312" w:eastAsia="仿宋_GB2312" w:cs="仿宋_GB2312"/>
          <w:b w:val="0"/>
          <w:bCs w:val="0"/>
          <w:sz w:val="32"/>
          <w:szCs w:val="32"/>
          <w:lang w:val="en-US" w:eastAsia="zh-CN"/>
        </w:rPr>
        <w:t>居民小区住户</w:t>
      </w:r>
      <w:r>
        <w:rPr>
          <w:rFonts w:hint="eastAsia" w:ascii="仿宋_GB2312" w:hAnsi="仿宋_GB2312" w:eastAsia="仿宋_GB2312" w:cs="仿宋_GB2312"/>
          <w:b w:val="0"/>
          <w:bCs w:val="0"/>
          <w:sz w:val="32"/>
          <w:szCs w:val="32"/>
        </w:rPr>
        <w:t>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开发区企业主和工人驾驶新能源车较多，而且比较集中。</w:t>
      </w:r>
      <w:r>
        <w:rPr>
          <w:rFonts w:hint="eastAsia" w:ascii="仿宋_GB2312" w:hAnsi="仿宋_GB2312" w:eastAsia="仿宋_GB2312" w:cs="仿宋_GB2312"/>
          <w:b w:val="0"/>
          <w:bCs w:val="0"/>
          <w:sz w:val="32"/>
          <w:szCs w:val="32"/>
        </w:rPr>
        <w:t>据了解，</w:t>
      </w:r>
      <w:r>
        <w:rPr>
          <w:rFonts w:hint="eastAsia" w:ascii="仿宋_GB2312" w:hAnsi="仿宋_GB2312" w:eastAsia="仿宋_GB2312" w:cs="仿宋_GB2312"/>
          <w:b w:val="0"/>
          <w:bCs w:val="0"/>
          <w:sz w:val="32"/>
          <w:szCs w:val="32"/>
          <w:lang w:val="en-US" w:eastAsia="zh-CN"/>
        </w:rPr>
        <w:t>目前</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val="en-US" w:eastAsia="zh-CN"/>
        </w:rPr>
        <w:t>红星广场</w:t>
      </w:r>
      <w:r>
        <w:rPr>
          <w:rFonts w:hint="eastAsia" w:ascii="仿宋_GB2312" w:hAnsi="仿宋_GB2312" w:eastAsia="仿宋_GB2312" w:cs="仿宋_GB2312"/>
          <w:b w:val="0"/>
          <w:bCs w:val="0"/>
          <w:sz w:val="32"/>
          <w:szCs w:val="32"/>
        </w:rPr>
        <w:t>附近</w:t>
      </w:r>
      <w:r>
        <w:rPr>
          <w:rFonts w:hint="eastAsia" w:ascii="仿宋_GB2312" w:hAnsi="仿宋_GB2312" w:eastAsia="仿宋_GB2312" w:cs="仿宋_GB2312"/>
          <w:b w:val="0"/>
          <w:bCs w:val="0"/>
          <w:sz w:val="32"/>
          <w:szCs w:val="32"/>
          <w:lang w:val="en-US" w:eastAsia="zh-CN"/>
        </w:rPr>
        <w:t>青少年活动中心有2个充电桩（在使用的1个但是长期被占用）、</w:t>
      </w:r>
      <w:r>
        <w:rPr>
          <w:rFonts w:hint="eastAsia" w:ascii="仿宋_GB2312" w:hAnsi="仿宋_GB2312" w:eastAsia="仿宋_GB2312" w:cs="仿宋_GB2312"/>
          <w:b w:val="0"/>
          <w:bCs w:val="0"/>
          <w:sz w:val="32"/>
          <w:szCs w:val="32"/>
        </w:rPr>
        <w:t>绿都影城停车场有</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个充电桩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在使用的3个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开发区仅</w:t>
      </w:r>
      <w:r>
        <w:rPr>
          <w:rFonts w:hint="eastAsia" w:ascii="仿宋_GB2312" w:hAnsi="仿宋_GB2312" w:eastAsia="仿宋_GB2312" w:cs="仿宋_GB2312"/>
          <w:b w:val="0"/>
          <w:bCs w:val="0"/>
          <w:sz w:val="32"/>
          <w:szCs w:val="32"/>
        </w:rPr>
        <w:t>管委会大楼停车场安装</w:t>
      </w:r>
      <w:r>
        <w:rPr>
          <w:rFonts w:hint="eastAsia" w:ascii="仿宋_GB2312" w:hAnsi="仿宋_GB2312" w:eastAsia="仿宋_GB2312" w:cs="仿宋_GB2312"/>
          <w:b w:val="0"/>
          <w:bCs w:val="0"/>
          <w:sz w:val="32"/>
          <w:szCs w:val="32"/>
          <w:lang w:val="en-US" w:eastAsia="zh-CN"/>
        </w:rPr>
        <w:t>了</w:t>
      </w:r>
      <w:r>
        <w:rPr>
          <w:rFonts w:hint="eastAsia" w:ascii="仿宋_GB2312" w:hAnsi="仿宋_GB2312" w:eastAsia="仿宋_GB2312" w:cs="仿宋_GB2312"/>
          <w:b w:val="0"/>
          <w:bCs w:val="0"/>
          <w:sz w:val="32"/>
          <w:szCs w:val="32"/>
        </w:rPr>
        <w:t>新能源充电桩，且具有快充功能的充电桩数量不多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无法满足群众的充电需求。此外，</w:t>
      </w:r>
      <w:r>
        <w:rPr>
          <w:rFonts w:hint="eastAsia" w:ascii="仿宋_GB2312" w:hAnsi="仿宋_GB2312" w:eastAsia="仿宋_GB2312" w:cs="仿宋_GB2312"/>
          <w:b w:val="0"/>
          <w:bCs w:val="0"/>
          <w:sz w:val="32"/>
          <w:szCs w:val="32"/>
          <w:lang w:eastAsia="zh-CN"/>
        </w:rPr>
        <w:t>当前新能源车辆品牌繁多，汽车充电系统终端型号不统一，公共充电桩未能提供配套的多端口服务。</w:t>
      </w:r>
      <w:r>
        <w:rPr>
          <w:rFonts w:hint="eastAsia" w:ascii="仿宋_GB2312" w:hAnsi="仿宋_GB2312" w:eastAsia="仿宋_GB2312" w:cs="仿宋_GB2312"/>
          <w:b w:val="0"/>
          <w:bCs w:val="0"/>
          <w:sz w:val="32"/>
          <w:szCs w:val="32"/>
          <w:lang w:val="en-US" w:eastAsia="zh-CN"/>
        </w:rPr>
        <w:t>综上所述，加强充电桩建设迫在眉睫，为此建议：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一是</w:t>
      </w:r>
      <w:r>
        <w:rPr>
          <w:rFonts w:hint="eastAsia" w:ascii="仿宋_GB2312" w:hAnsi="仿宋_GB2312" w:eastAsia="仿宋_GB2312" w:cs="仿宋_GB2312"/>
          <w:b w:val="0"/>
          <w:bCs w:val="0"/>
          <w:sz w:val="32"/>
          <w:szCs w:val="32"/>
          <w:lang w:val="en-US" w:eastAsia="zh-CN"/>
        </w:rPr>
        <w:t>建议将红星广场两侧停车场资源纳入智慧停车系统。红星广场两侧公共停车位日常利用率较低，长期停放不动车辆较多，建议可纳入智慧停车统一管理，提高公共停车位利用率。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二是</w:t>
      </w:r>
      <w:r>
        <w:rPr>
          <w:rFonts w:hint="eastAsia" w:ascii="仿宋_GB2312" w:hAnsi="仿宋_GB2312" w:eastAsia="仿宋_GB2312" w:cs="仿宋_GB2312"/>
          <w:b w:val="0"/>
          <w:bCs w:val="0"/>
          <w:sz w:val="32"/>
          <w:szCs w:val="32"/>
          <w:lang w:val="en-US" w:eastAsia="zh-CN"/>
        </w:rPr>
        <w:t>建议在红星广场两侧停车场增设配建或预留充电基础设施。具体在广场两侧林下停车场建设新能源车专用停车场，同时加快充电实施建设，有效的解决充电难问题。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sz w:val="32"/>
          <w:szCs w:val="32"/>
          <w:lang w:val="en-US" w:eastAsia="zh-CN"/>
        </w:rPr>
        <w:t>三是</w:t>
      </w:r>
      <w:r>
        <w:rPr>
          <w:rFonts w:hint="eastAsia" w:ascii="仿宋" w:hAnsi="仿宋" w:eastAsia="仿宋" w:cs="仿宋"/>
          <w:b w:val="0"/>
          <w:bCs w:val="0"/>
          <w:sz w:val="32"/>
          <w:szCs w:val="32"/>
          <w:lang w:val="en-US" w:eastAsia="zh-CN"/>
        </w:rPr>
        <w:t>建议尽快在开发区工业企业集约度和亩均税收较高的地方，进行整体谋划，适当加装新能源充电桩等基础设施。并逐年对公共区域和规模以上企业的新能源充电桩设施分批进行升级改造。</w:t>
      </w:r>
    </w:p>
    <w:p>
      <w:pPr>
        <w:keepNext w:val="0"/>
        <w:keepLines w:val="0"/>
        <w:pageBreakBefore w:val="0"/>
        <w:numPr>
          <w:ilvl w:val="0"/>
          <w:numId w:val="0"/>
        </w:numPr>
        <w:wordWrap/>
        <w:topLinePunct w:val="0"/>
        <w:bidi w:val="0"/>
        <w:spacing w:line="600" w:lineRule="exact"/>
        <w:ind w:firstLine="643" w:firstLineChars="200"/>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lang w:val="en-US" w:eastAsia="zh-CN"/>
        </w:rPr>
        <w:t>四是</w:t>
      </w:r>
      <w:r>
        <w:rPr>
          <w:rFonts w:hint="eastAsia" w:ascii="仿宋_GB2312" w:hAnsi="仿宋_GB2312" w:eastAsia="仿宋_GB2312" w:cs="仿宋_GB2312"/>
          <w:b w:val="0"/>
          <w:bCs w:val="0"/>
          <w:sz w:val="32"/>
          <w:szCs w:val="32"/>
        </w:rPr>
        <w:t>针对目前存在的</w:t>
      </w:r>
      <w:r>
        <w:rPr>
          <w:rFonts w:hint="eastAsia" w:ascii="仿宋_GB2312" w:hAnsi="仿宋_GB2312" w:eastAsia="仿宋_GB2312" w:cs="仿宋_GB2312"/>
          <w:b w:val="0"/>
          <w:bCs w:val="0"/>
          <w:sz w:val="32"/>
          <w:szCs w:val="32"/>
          <w:lang w:val="en-US" w:eastAsia="zh-CN"/>
        </w:rPr>
        <w:t>充电桩不足、</w:t>
      </w:r>
      <w:r>
        <w:rPr>
          <w:rFonts w:hint="eastAsia" w:ascii="仿宋_GB2312" w:hAnsi="仿宋_GB2312" w:eastAsia="仿宋_GB2312" w:cs="仿宋_GB2312"/>
          <w:b w:val="0"/>
          <w:bCs w:val="0"/>
          <w:sz w:val="32"/>
          <w:szCs w:val="32"/>
        </w:rPr>
        <w:t>充电结束不及时离开以及燃油车占位造成其他车辆无法充电等问题，要引导市民规范停车，爱护并正确使用公共充电桩，可引入</w:t>
      </w:r>
      <w:r>
        <w:rPr>
          <w:rFonts w:hint="eastAsia" w:ascii="仿宋_GB2312" w:hAnsi="仿宋_GB2312" w:eastAsia="仿宋_GB2312" w:cs="仿宋_GB2312"/>
          <w:b w:val="0"/>
          <w:bCs w:val="0"/>
          <w:sz w:val="32"/>
          <w:szCs w:val="32"/>
          <w:lang w:val="en-US" w:eastAsia="zh-CN"/>
        </w:rPr>
        <w:t>相关</w:t>
      </w:r>
      <w:r>
        <w:rPr>
          <w:rFonts w:hint="eastAsia" w:ascii="仿宋_GB2312" w:hAnsi="仿宋_GB2312" w:eastAsia="仿宋_GB2312" w:cs="仿宋_GB2312"/>
          <w:b w:val="0"/>
          <w:bCs w:val="0"/>
          <w:sz w:val="32"/>
          <w:szCs w:val="32"/>
        </w:rPr>
        <w:t>处罚手段进行治理，以提高现有设施</w:t>
      </w:r>
      <w:r>
        <w:rPr>
          <w:rFonts w:hint="eastAsia" w:ascii="仿宋_GB2312" w:hAnsi="仿宋_GB2312" w:eastAsia="仿宋_GB2312" w:cs="仿宋_GB2312"/>
          <w:b w:val="0"/>
          <w:bCs w:val="0"/>
          <w:sz w:val="32"/>
          <w:szCs w:val="32"/>
          <w:lang w:val="en-US" w:eastAsia="zh-CN"/>
        </w:rPr>
        <w:t>使用</w:t>
      </w:r>
      <w:r>
        <w:rPr>
          <w:rFonts w:hint="eastAsia" w:ascii="仿宋_GB2312" w:hAnsi="仿宋_GB2312" w:eastAsia="仿宋_GB2312" w:cs="仿宋_GB2312"/>
          <w:b w:val="0"/>
          <w:bCs w:val="0"/>
          <w:sz w:val="32"/>
          <w:szCs w:val="32"/>
        </w:rPr>
        <w:t>效率。</w:t>
      </w:r>
    </w:p>
    <w:p>
      <w:pPr>
        <w:keepNext w:val="0"/>
        <w:keepLines w:val="0"/>
        <w:pageBreakBefore w:val="0"/>
        <w:numPr>
          <w:ilvl w:val="0"/>
          <w:numId w:val="0"/>
        </w:numPr>
        <w:wordWrap/>
        <w:topLinePunct w:val="0"/>
        <w:bidi w:val="0"/>
        <w:spacing w:line="60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（委员联系方式：18788812882，13926580123 ；建议承办单位：县住建局、县开发区管委会、县供电公司</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七、关于合理划定城区道路沿线停车位和收费性智慧停车位的建议</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洪梅委员反映：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2022年以来，“便民停车”暖民心行动取得了较为显著的成效。据了解，截止今年上半年，全县新增城市停车泊位约3000个，其中公共停车泊位约1100个，极大程度上缓解了城区停车难、乱停车的问题。经过实地走访，部分群众主要反映了2个问题：</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城区道路沿线停车位划定还有不合理的地方，有的道路本来就不宽，路边划了汽车停车位，如遇双向来车，极容易发生交通事故；还有的路上除了汽车停车位还有电瓶三轮车车位，那路就更容易堵了。二是收费的智慧泊车位设置还有不合理的地方，比如在小区周边设置收费停车场不合理，收费性停车场应当设置在商场、商业街等公共区域，而目前城区一些地方在小区附近设置了收费性停车场，导致小区业主的车不愿停，反而就近找宽点的行人道、小区路边停放，既影响路况又影响城市形象，而收费停车场还天天空着。</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为此，建议：</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建议取消部分路面较窄或人流量较大的路段路边公共停车位，或者分时段许可停车（例如上、下班和上、下学高峰期禁止停车）。</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建议对城区收费性智慧停车场举行摸排，将设置在小区附近的、使用率又不高的停车场改成便民停车位，或者结合实际，对利用率较低的智慧泊车位，实行分类、分时等差别化停车收费，进一步促进停车资源的充分利用。</w:t>
      </w:r>
    </w:p>
    <w:p>
      <w:pPr>
        <w:keepNext w:val="0"/>
        <w:keepLines w:val="0"/>
        <w:pageBreakBefore w:val="0"/>
        <w:numPr>
          <w:ilvl w:val="0"/>
          <w:numId w:val="0"/>
        </w:numPr>
        <w:wordWrap/>
        <w:topLinePunct w:val="0"/>
        <w:bidi w:val="0"/>
        <w:spacing w:line="60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（委员联系方式：</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18056333080</w:t>
      </w:r>
      <w:r>
        <w:rPr>
          <w:rFonts w:hint="eastAsia" w:ascii="仿宋_GB2312" w:hAnsi="仿宋_GB2312" w:eastAsia="仿宋_GB2312" w:cs="仿宋_GB2312"/>
          <w:b w:val="0"/>
          <w:bCs w:val="0"/>
          <w:kern w:val="2"/>
          <w:sz w:val="32"/>
          <w:szCs w:val="32"/>
          <w:lang w:val="en-US" w:eastAsia="zh-CN" w:bidi="ar-SA"/>
        </w:rPr>
        <w:t>；建议承办单位：县住建局、县国控集团</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八、关于加大便民停车位有效供给的建议</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安恬委员反映：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城区交通问题越来越受到群众的关注，虽然通过实施便民停车行动，停车难问题得到一定程度的缓解，但是与群众的停车需求相比还是有一定差距，建议：</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一是科学施划停车泊位。</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科学开展城区主次干道沿线的人行道、辅道改造以及主城区的停车泊位施划，优化道路断面设置，强化停车标识系统建设。探索政府和社会资本合作等多元化措施扩大公共停车设施供给。</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二是继续推进老旧小区停车设施改造。</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以老旧小区整治为契机，把改善停车条件作为重要整治项目，每年按计划全力推进。</w:t>
      </w:r>
    </w:p>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三是推进停车智能化管理。</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积极打造智慧停车信息系统，实现信息查询、车位预定、违停监控、后台处理、征信运用、数据共享，提高停车设施周转率，减少寻位绕行时间。</w:t>
      </w:r>
    </w:p>
    <w:p>
      <w:pPr>
        <w:keepNext w:val="0"/>
        <w:keepLines w:val="0"/>
        <w:pageBreakBefore w:val="0"/>
        <w:numPr>
          <w:ilvl w:val="0"/>
          <w:numId w:val="0"/>
        </w:numPr>
        <w:wordWrap/>
        <w:topLinePunct w:val="0"/>
        <w:bidi w:val="0"/>
        <w:spacing w:line="60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（委员联系方式：</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15305632000</w:t>
      </w:r>
      <w:r>
        <w:rPr>
          <w:rFonts w:hint="eastAsia" w:ascii="仿宋_GB2312" w:hAnsi="仿宋_GB2312" w:eastAsia="仿宋_GB2312" w:cs="仿宋_GB2312"/>
          <w:b w:val="0"/>
          <w:bCs w:val="0"/>
          <w:kern w:val="2"/>
          <w:sz w:val="32"/>
          <w:szCs w:val="32"/>
          <w:lang w:val="en-US" w:eastAsia="zh-CN" w:bidi="ar-SA"/>
        </w:rPr>
        <w:t>；建议承办单位：县住建局、</w:t>
      </w:r>
      <w:bookmarkStart w:id="0" w:name="_GoBack"/>
      <w:r>
        <w:rPr>
          <w:rFonts w:hint="eastAsia" w:ascii="仿宋_GB2312" w:hAnsi="仿宋_GB2312" w:eastAsia="仿宋_GB2312" w:cs="仿宋_GB2312"/>
          <w:b w:val="0"/>
          <w:bCs w:val="0"/>
          <w:kern w:val="2"/>
          <w:sz w:val="32"/>
          <w:szCs w:val="32"/>
          <w:lang w:val="en-US" w:eastAsia="zh-CN" w:bidi="ar-SA"/>
        </w:rPr>
        <w:t>县国控集团</w:t>
      </w:r>
      <w:r>
        <w:rPr>
          <w:rFonts w:hint="eastAsia" w:ascii="仿宋_GB2312" w:hAnsi="仿宋_GB2312" w:eastAsia="仿宋_GB2312" w:cs="仿宋_GB2312"/>
          <w:b w:val="0"/>
          <w:bCs w:val="0"/>
          <w:kern w:val="2"/>
          <w:sz w:val="32"/>
          <w:szCs w:val="32"/>
          <w:lang w:val="en-US" w:eastAsia="zh-CN" w:bidi="ar-SA"/>
        </w:rPr>
        <w:t>）</w:t>
      </w:r>
    </w:p>
    <w:bookmarkEnd w:id="0"/>
    <w:p>
      <w:pPr>
        <w:keepNext w:val="0"/>
        <w:keepLines w:val="0"/>
        <w:pageBreakBefore w:val="0"/>
        <w:widowControl w:val="0"/>
        <w:numPr>
          <w:ilvl w:val="0"/>
          <w:numId w:val="0"/>
        </w:numPr>
        <w:kinsoku/>
        <w:wordWrap/>
        <w:overflowPunct w:val="0"/>
        <w:topLinePunct w:val="0"/>
        <w:autoSpaceDE w:val="0"/>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sectPr>
      <w:headerReference r:id="rId3" w:type="first"/>
      <w:footerReference r:id="rId4" w:type="default"/>
      <w:pgSz w:w="11906" w:h="16838"/>
      <w:pgMar w:top="2041" w:right="1588" w:bottom="1587" w:left="1588" w:header="851" w:footer="1020"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美黑简体">
    <w:altName w:val="黑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pPr>
                      <w:pStyle w:val="4"/>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- 2 -</w:t>
                    </w:r>
                    <w:r>
                      <w:rPr>
                        <w:rFonts w:hint="eastAsia"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YzQ3MWNlNmZmMGY4MGNhNzUxOWRkMjIxMTUwMjcifQ=="/>
  </w:docVars>
  <w:rsids>
    <w:rsidRoot w:val="00000000"/>
    <w:rsid w:val="0D7C1107"/>
    <w:rsid w:val="0EDE596E"/>
    <w:rsid w:val="14E31E35"/>
    <w:rsid w:val="15267555"/>
    <w:rsid w:val="1696563B"/>
    <w:rsid w:val="1805274B"/>
    <w:rsid w:val="1C2344FA"/>
    <w:rsid w:val="1E682DA9"/>
    <w:rsid w:val="20F74F40"/>
    <w:rsid w:val="26FD42C6"/>
    <w:rsid w:val="2760328B"/>
    <w:rsid w:val="2D9F6AE6"/>
    <w:rsid w:val="2E525B51"/>
    <w:rsid w:val="2F63107C"/>
    <w:rsid w:val="2F650CC7"/>
    <w:rsid w:val="36620725"/>
    <w:rsid w:val="382C3ECB"/>
    <w:rsid w:val="3FFF45CD"/>
    <w:rsid w:val="49065567"/>
    <w:rsid w:val="4BC75603"/>
    <w:rsid w:val="4DD90246"/>
    <w:rsid w:val="5122795F"/>
    <w:rsid w:val="540D6D6A"/>
    <w:rsid w:val="545557C6"/>
    <w:rsid w:val="572304FA"/>
    <w:rsid w:val="5A4D4CA8"/>
    <w:rsid w:val="5A892CCF"/>
    <w:rsid w:val="5B093FD1"/>
    <w:rsid w:val="61123460"/>
    <w:rsid w:val="6279041A"/>
    <w:rsid w:val="6879625F"/>
    <w:rsid w:val="68E875B2"/>
    <w:rsid w:val="6B4C2C38"/>
    <w:rsid w:val="6DC93FEA"/>
    <w:rsid w:val="6DE24C48"/>
    <w:rsid w:val="727C3BE6"/>
    <w:rsid w:val="72D92F7A"/>
    <w:rsid w:val="74346868"/>
    <w:rsid w:val="758E68E9"/>
    <w:rsid w:val="7847413C"/>
    <w:rsid w:val="798844C4"/>
    <w:rsid w:val="7E2928E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footer"/>
    <w:basedOn w:val="1"/>
    <w:link w:val="11"/>
    <w:autoRedefine/>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autoRedefine/>
    <w:qFormat/>
    <w:locked/>
    <w:uiPriority w:val="0"/>
    <w:rPr>
      <w:b/>
    </w:rPr>
  </w:style>
  <w:style w:type="character" w:customStyle="1" w:styleId="10">
    <w:name w:val="页眉 Char"/>
    <w:basedOn w:val="8"/>
    <w:link w:val="5"/>
    <w:semiHidden/>
    <w:qFormat/>
    <w:locked/>
    <w:uiPriority w:val="99"/>
    <w:rPr>
      <w:rFonts w:cs="Times New Roman"/>
      <w:sz w:val="18"/>
      <w:szCs w:val="18"/>
    </w:rPr>
  </w:style>
  <w:style w:type="character" w:customStyle="1" w:styleId="11">
    <w:name w:val="页脚 Char"/>
    <w:basedOn w:val="8"/>
    <w:link w:val="4"/>
    <w:autoRedefine/>
    <w:semiHidden/>
    <w:qFormat/>
    <w:locked/>
    <w:uiPriority w:val="99"/>
    <w:rPr>
      <w:rFonts w:cs="Times New Roman"/>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3864</Words>
  <Characters>3978</Characters>
  <Lines>17</Lines>
  <Paragraphs>4</Paragraphs>
  <TotalTime>2</TotalTime>
  <ScaleCrop>false</ScaleCrop>
  <LinksUpToDate>false</LinksUpToDate>
  <CharactersWithSpaces>4019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2023-07-05T14:01:00Z</dcterms:created>
  <dc:creator>hp</dc:creator>
  <cp:lastModifiedBy>咚咚锵 </cp:lastModifiedBy>
  <cp:lastPrinted>2023-09-28T07:24:00Z</cp:lastPrinted>
  <dcterms:modified xsi:type="dcterms:W3CDTF">2024-02-04T03:05:46Z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D9DFE328E17943F68AE8B59AF4202413_13</vt:lpwstr>
  </property>
</Properties>
</file>