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523875</wp:posOffset>
                </wp:positionH>
                <wp:positionV relativeFrom="paragraph">
                  <wp:posOffset>316865</wp:posOffset>
                </wp:positionV>
                <wp:extent cx="4486275" cy="1042670"/>
                <wp:effectExtent l="5080" t="4445" r="4445" b="19685"/>
                <wp:wrapNone/>
                <wp:docPr id="2" name="矩形 2"/>
                <wp:cNvGraphicFramePr/>
                <a:graphic xmlns:a="http://schemas.openxmlformats.org/drawingml/2006/main">
                  <a:graphicData uri="http://schemas.microsoft.com/office/word/2010/wordprocessingShape">
                    <wps:wsp>
                      <wps:cNvSpPr/>
                      <wps:spPr>
                        <a:xfrm>
                          <a:off x="0" y="0"/>
                          <a:ext cx="4486275" cy="10426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1600" w:lineRule="exact"/>
                              <w:jc w:val="distribute"/>
                              <w:rPr>
                                <w:rFonts w:ascii="方正美黑简体" w:eastAsia="方正美黑简体"/>
                                <w:color w:val="FF0000"/>
                                <w:w w:val="80"/>
                                <w:sz w:val="135"/>
                              </w:rPr>
                            </w:pPr>
                            <w:r>
                              <w:rPr>
                                <w:rFonts w:hint="eastAsia" w:ascii="方正美黑简体" w:eastAsia="方正美黑简体"/>
                                <w:color w:val="FF0000"/>
                                <w:w w:val="80"/>
                                <w:sz w:val="135"/>
                              </w:rPr>
                              <w:t>社情民意专报</w:t>
                            </w:r>
                          </w:p>
                        </w:txbxContent>
                      </wps:txbx>
                      <wps:bodyPr upright="1"/>
                    </wps:wsp>
                  </a:graphicData>
                </a:graphic>
              </wp:anchor>
            </w:drawing>
          </mc:Choice>
          <mc:Fallback>
            <w:pict>
              <v:rect id="_x0000_s1026" o:spid="_x0000_s1026" o:spt="1" style="position:absolute;left:0pt;margin-left:41.25pt;margin-top:24.95pt;height:82.1pt;width:353.25pt;z-index:251659264;mso-width-relative:page;mso-height-relative:page;" fillcolor="#FFFFFF" filled="t" stroked="t" coordsize="21600,21600" o:gfxdata="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8u4/XAAAACQEAAA8AAAAAAAAAAQAgAAAAIgAAAGRycy9k&#10;b3ducmV2LnhtbFBLAQIUABQAAAAIAIdO4kAhJrUYAwIAADgEAAAOAAAAAAAAAAEAIAAAACYBAABk&#10;cnMvZTJvRG9jLnhtbFBLBQYAAAAABgAGAFkBAACbBQAAAAA=&#10;">
                <v:fill on="t" focussize="0,0"/>
                <v:stroke color="#FFFFFF" joinstyle="miter"/>
                <v:imagedata o:title=""/>
                <o:lock v:ext="edit" aspectratio="f"/>
                <v:textbox>
                  <w:txbxContent>
                    <w:p>
                      <w:pPr>
                        <w:spacing w:line="1600" w:lineRule="exact"/>
                        <w:jc w:val="distribute"/>
                        <w:rPr>
                          <w:rFonts w:ascii="方正美黑简体" w:eastAsia="方正美黑简体"/>
                          <w:color w:val="FF0000"/>
                          <w:w w:val="80"/>
                          <w:sz w:val="135"/>
                        </w:rPr>
                      </w:pPr>
                      <w:r>
                        <w:rPr>
                          <w:rFonts w:hint="eastAsia" w:ascii="方正美黑简体" w:eastAsia="方正美黑简体"/>
                          <w:color w:val="FF0000"/>
                          <w:w w:val="80"/>
                          <w:sz w:val="135"/>
                        </w:rPr>
                        <w:t>社情民意专报</w:t>
                      </w:r>
                    </w:p>
                  </w:txbxContent>
                </v:textbox>
              </v:rect>
            </w:pict>
          </mc:Fallback>
        </mc:AlternateContent>
      </w:r>
    </w:p>
    <w:p>
      <w:pPr>
        <w:rPr>
          <w:color w:val="000000" w:themeColor="text1"/>
          <w:sz w:val="28"/>
          <w:szCs w:val="28"/>
          <w14:textFill>
            <w14:solidFill>
              <w14:schemeClr w14:val="tx1"/>
            </w14:solidFill>
          </w14:textFill>
        </w:rPr>
      </w:pPr>
    </w:p>
    <w:p>
      <w:pPr>
        <w:ind w:firstLine="560" w:firstLineChars="200"/>
        <w:rPr>
          <w:color w:val="000000" w:themeColor="text1"/>
          <w:sz w:val="28"/>
          <w:szCs w:val="28"/>
          <w14:textFill>
            <w14:solidFill>
              <w14:schemeClr w14:val="tx1"/>
            </w14:solidFill>
          </w14:textFill>
        </w:rPr>
      </w:pPr>
    </w:p>
    <w:p>
      <w:pPr>
        <w:spacing w:line="240" w:lineRule="exact"/>
        <w:ind w:firstLine="560" w:firstLineChars="200"/>
        <w:rPr>
          <w:color w:val="000000" w:themeColor="text1"/>
          <w:sz w:val="28"/>
          <w:szCs w:val="28"/>
          <w14:textFill>
            <w14:solidFill>
              <w14:schemeClr w14:val="tx1"/>
            </w14:solidFill>
          </w14:textFill>
        </w:rPr>
      </w:pPr>
    </w:p>
    <w:p>
      <w:pPr>
        <w:spacing w:line="240" w:lineRule="exact"/>
        <w:ind w:firstLine="560" w:firstLineChars="200"/>
        <w:rPr>
          <w:color w:val="000000" w:themeColor="text1"/>
          <w:sz w:val="28"/>
          <w:szCs w:val="28"/>
          <w14:textFill>
            <w14:solidFill>
              <w14:schemeClr w14:val="tx1"/>
            </w14:solidFill>
          </w14:textFill>
        </w:rPr>
      </w:pPr>
    </w:p>
    <w:p>
      <w:pPr>
        <w:jc w:val="center"/>
        <w:rPr>
          <w:rFonts w:ascii="黑体" w:eastAsia="黑体"/>
          <w:color w:val="000000" w:themeColor="text1"/>
          <w:sz w:val="30"/>
          <w:szCs w:val="32"/>
          <w14:textFill>
            <w14:solidFill>
              <w14:schemeClr w14:val="tx1"/>
            </w14:solidFill>
          </w14:textFill>
        </w:rPr>
      </w:pPr>
      <w:r>
        <w:rPr>
          <w:rFonts w:hint="eastAsia" w:ascii="黑体" w:eastAsia="黑体"/>
          <w:color w:val="000000" w:themeColor="text1"/>
          <w:sz w:val="30"/>
          <w:szCs w:val="32"/>
          <w14:textFill>
            <w14:solidFill>
              <w14:schemeClr w14:val="tx1"/>
            </w14:solidFill>
          </w14:textFill>
        </w:rPr>
        <w:t>第</w:t>
      </w:r>
      <w:r>
        <w:rPr>
          <w:rFonts w:hint="eastAsia" w:ascii="黑体" w:eastAsia="黑体"/>
          <w:color w:val="000000" w:themeColor="text1"/>
          <w:sz w:val="30"/>
          <w:szCs w:val="32"/>
          <w:lang w:val="en-US" w:eastAsia="zh-CN"/>
          <w14:textFill>
            <w14:solidFill>
              <w14:schemeClr w14:val="tx1"/>
            </w14:solidFill>
          </w14:textFill>
        </w:rPr>
        <w:t>16</w:t>
      </w:r>
      <w:r>
        <w:rPr>
          <w:rFonts w:hint="eastAsia" w:ascii="黑体" w:eastAsia="黑体"/>
          <w:color w:val="000000" w:themeColor="text1"/>
          <w:sz w:val="30"/>
          <w:szCs w:val="32"/>
          <w14:textFill>
            <w14:solidFill>
              <w14:schemeClr w14:val="tx1"/>
            </w14:solidFill>
          </w14:textFill>
        </w:rPr>
        <w:t>期</w:t>
      </w:r>
      <w:r>
        <w:rPr>
          <w:rFonts w:hint="eastAsia" w:ascii="楷体_GB2312" w:eastAsia="楷体_GB2312"/>
          <w:color w:val="000000" w:themeColor="text1"/>
          <w:sz w:val="30"/>
          <w:szCs w:val="32"/>
          <w14:textFill>
            <w14:solidFill>
              <w14:schemeClr w14:val="tx1"/>
            </w14:solidFill>
          </w14:textFill>
        </w:rPr>
        <w:t>（总第</w:t>
      </w:r>
      <w:r>
        <w:rPr>
          <w:rFonts w:hint="eastAsia" w:ascii="楷体_GB2312" w:eastAsia="楷体_GB2312"/>
          <w:color w:val="000000" w:themeColor="text1"/>
          <w:sz w:val="30"/>
          <w:szCs w:val="32"/>
          <w:lang w:eastAsia="zh-CN"/>
          <w14:textFill>
            <w14:solidFill>
              <w14:schemeClr w14:val="tx1"/>
            </w14:solidFill>
          </w14:textFill>
        </w:rPr>
        <w:t>三十六</w:t>
      </w:r>
      <w:r>
        <w:rPr>
          <w:rFonts w:hint="eastAsia" w:ascii="楷体_GB2312" w:eastAsia="楷体_GB2312"/>
          <w:color w:val="000000" w:themeColor="text1"/>
          <w:sz w:val="30"/>
          <w:szCs w:val="32"/>
          <w14:textFill>
            <w14:solidFill>
              <w14:schemeClr w14:val="tx1"/>
            </w14:solidFill>
          </w14:textFill>
        </w:rPr>
        <w:t>期）</w:t>
      </w:r>
    </w:p>
    <w:p>
      <w:pPr>
        <w:spacing w:afterLines="100"/>
        <w:jc w:val="center"/>
        <w:rPr>
          <w:rFonts w:ascii="楷体_GB2312" w:eastAsia="楷体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4449445</wp:posOffset>
                </wp:positionH>
                <wp:positionV relativeFrom="paragraph">
                  <wp:posOffset>396240</wp:posOffset>
                </wp:positionV>
                <wp:extent cx="0" cy="6187440"/>
                <wp:effectExtent l="7620" t="0" r="11430" b="3810"/>
                <wp:wrapNone/>
                <wp:docPr id="3" name="直线 3"/>
                <wp:cNvGraphicFramePr/>
                <a:graphic xmlns:a="http://schemas.openxmlformats.org/drawingml/2006/main">
                  <a:graphicData uri="http://schemas.microsoft.com/office/word/2010/wordprocessingShape">
                    <wps:wsp>
                      <wps:cNvCnPr/>
                      <wps:spPr>
                        <a:xfrm>
                          <a:off x="0" y="0"/>
                          <a:ext cx="0" cy="6187440"/>
                        </a:xfrm>
                        <a:prstGeom prst="line">
                          <a:avLst/>
                        </a:prstGeom>
                        <a:ln w="15875" cap="flat" cmpd="sng">
                          <a:solidFill>
                            <a:srgbClr val="FF0000"/>
                          </a:solidFill>
                          <a:prstDash val="solid"/>
                          <a:headEnd type="none" w="med" len="med"/>
                          <a:tailEnd type="none" w="med" len="med"/>
                        </a:ln>
                        <a:effectLst/>
                      </wps:spPr>
                      <wps:bodyPr upright="1"/>
                    </wps:wsp>
                  </a:graphicData>
                </a:graphic>
              </wp:anchor>
            </w:drawing>
          </mc:Choice>
          <mc:Fallback>
            <w:pict>
              <v:line id="直线 3" o:spid="_x0000_s1026" o:spt="20" style="position:absolute;left:0pt;margin-left:350.35pt;margin-top:31.2pt;height:487.2pt;width:0pt;z-index:251660288;mso-width-relative:page;mso-height-relative:page;" filled="f" stroked="t" coordsize="21600,21600" o:gfxdata="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NjtoLYAAAACwEAAA8AAAAAAAAAAQAgAAAAIgAAAGRycy9kb3ducmV2LnhtbFBLAQIUABQA&#10;AAAIAIdO4kCMhEyu8AEAAOoDAAAOAAAAAAAAAAEAIAAAACcBAABkcnMvZTJvRG9jLnhtbFBLBQYA&#10;AAAABgAGAFkBAACJBQAAAAA=&#10;">
                <v:fill on="f" focussize="0,0"/>
                <v:stroke weight="1.25pt" color="#FF0000"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396240</wp:posOffset>
                </wp:positionV>
                <wp:extent cx="5600700" cy="0"/>
                <wp:effectExtent l="0" t="9525" r="0" b="9525"/>
                <wp:wrapNone/>
                <wp:docPr id="4" name="直线 4"/>
                <wp:cNvGraphicFramePr/>
                <a:graphic xmlns:a="http://schemas.openxmlformats.org/drawingml/2006/main">
                  <a:graphicData uri="http://schemas.microsoft.com/office/word/2010/wordprocessingShape">
                    <wps:wsp>
                      <wps:cNvCnPr/>
                      <wps:spPr>
                        <a:xfrm>
                          <a:off x="0" y="0"/>
                          <a:ext cx="5600700" cy="0"/>
                        </a:xfrm>
                        <a:prstGeom prst="line">
                          <a:avLst/>
                        </a:prstGeom>
                        <a:ln w="19050" cap="flat" cmpd="sng">
                          <a:solidFill>
                            <a:srgbClr val="FF0000"/>
                          </a:solidFill>
                          <a:prstDash val="solid"/>
                          <a:headEnd type="none" w="med" len="med"/>
                          <a:tailEnd type="none" w="med" len="med"/>
                        </a:ln>
                        <a:effectLst/>
                      </wps:spPr>
                      <wps:bodyPr upright="1"/>
                    </wps:wsp>
                  </a:graphicData>
                </a:graphic>
              </wp:anchor>
            </w:drawing>
          </mc:Choice>
          <mc:Fallback>
            <w:pict>
              <v:line id="直线 4" o:spid="_x0000_s1026" o:spt="20" style="position:absolute;left:0pt;margin-left:0pt;margin-top:31.2pt;height:0pt;width:441pt;z-index:251661312;mso-width-relative:page;mso-height-relative:page;" filled="f" stroked="t" coordsize="21600,21600" o:gfxdata="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e+9WNUAAAAGAQAADwAAAAAAAAABACAAAAAiAAAAZHJzL2Rvd25yZXYueG1sUEsBAhQAFAAAAAgA&#10;h07iQAnZfPDvAQAA6gMAAA4AAAAAAAAAAQAgAAAAJAEAAGRycy9lMm9Eb2MueG1sUEsFBgAAAAAG&#10;AAYAWQEAAIUFAAAAAA==&#10;">
                <v:fill on="f" focussize="0,0"/>
                <v:stroke weight="1.5pt" color="#FF0000" joinstyle="round"/>
                <v:imagedata o:title=""/>
                <o:lock v:ext="edit" aspectratio="f"/>
              </v:line>
            </w:pict>
          </mc:Fallback>
        </mc:AlternateContent>
      </w:r>
      <w:r>
        <w:rPr>
          <w:rFonts w:hint="eastAsia" w:ascii="楷体_GB2312" w:eastAsia="楷体_GB2312"/>
          <w:color w:val="000000" w:themeColor="text1"/>
          <w:sz w:val="32"/>
          <w:szCs w:val="32"/>
          <w14:textFill>
            <w14:solidFill>
              <w14:schemeClr w14:val="tx1"/>
            </w14:solidFill>
          </w14:textFill>
        </w:rPr>
        <w:t>泾县政协办公室编印</w:t>
      </w:r>
      <w:r>
        <w:rPr>
          <w:rFonts w:ascii="楷体_GB2312" w:eastAsia="楷体_GB2312"/>
          <w:color w:val="000000" w:themeColor="text1"/>
          <w:sz w:val="32"/>
          <w:szCs w:val="32"/>
          <w14:textFill>
            <w14:solidFill>
              <w14:schemeClr w14:val="tx1"/>
            </w14:solidFill>
          </w14:textFill>
        </w:rPr>
        <w:t xml:space="preserve">                  202</w:t>
      </w:r>
      <w:r>
        <w:rPr>
          <w:rFonts w:hint="eastAsia" w:ascii="楷体_GB2312" w:eastAsia="楷体_GB2312"/>
          <w:color w:val="000000" w:themeColor="text1"/>
          <w:sz w:val="32"/>
          <w:szCs w:val="32"/>
          <w:lang w:val="en-US" w:eastAsia="zh-CN"/>
          <w14:textFill>
            <w14:solidFill>
              <w14:schemeClr w14:val="tx1"/>
            </w14:solidFill>
          </w14:textFill>
        </w:rPr>
        <w:t>4</w:t>
      </w:r>
      <w:r>
        <w:rPr>
          <w:rFonts w:hint="eastAsia" w:ascii="楷体_GB2312" w:eastAsia="楷体_GB2312"/>
          <w:color w:val="000000" w:themeColor="text1"/>
          <w:sz w:val="32"/>
          <w:szCs w:val="32"/>
          <w14:textFill>
            <w14:solidFill>
              <w14:schemeClr w14:val="tx1"/>
            </w14:solidFill>
          </w14:textFill>
        </w:rPr>
        <w:t>年</w:t>
      </w:r>
      <w:r>
        <w:rPr>
          <w:rFonts w:hint="eastAsia" w:ascii="楷体_GB2312" w:eastAsia="楷体_GB2312"/>
          <w:color w:val="000000" w:themeColor="text1"/>
          <w:sz w:val="32"/>
          <w:szCs w:val="32"/>
          <w:lang w:val="en-US" w:eastAsia="zh-CN"/>
          <w14:textFill>
            <w14:solidFill>
              <w14:schemeClr w14:val="tx1"/>
            </w14:solidFill>
          </w14:textFill>
        </w:rPr>
        <w:t>7</w:t>
      </w:r>
      <w:r>
        <w:rPr>
          <w:rFonts w:hint="eastAsia" w:ascii="楷体_GB2312" w:eastAsia="楷体_GB2312"/>
          <w:color w:val="000000" w:themeColor="text1"/>
          <w:sz w:val="32"/>
          <w:szCs w:val="32"/>
          <w14:textFill>
            <w14:solidFill>
              <w14:schemeClr w14:val="tx1"/>
            </w14:solidFill>
          </w14:textFill>
        </w:rPr>
        <w:t>月</w:t>
      </w:r>
      <w:r>
        <w:rPr>
          <w:rFonts w:hint="eastAsia" w:ascii="楷体_GB2312" w:eastAsia="楷体_GB2312"/>
          <w:color w:val="000000" w:themeColor="text1"/>
          <w:sz w:val="32"/>
          <w:szCs w:val="32"/>
          <w:lang w:val="en-US" w:eastAsia="zh-CN"/>
          <w14:textFill>
            <w14:solidFill>
              <w14:schemeClr w14:val="tx1"/>
            </w14:solidFill>
          </w14:textFill>
        </w:rPr>
        <w:t>2</w:t>
      </w:r>
      <w:r>
        <w:rPr>
          <w:rFonts w:hint="eastAsia" w:ascii="楷体_GB2312" w:eastAsia="楷体_GB2312"/>
          <w:color w:val="000000" w:themeColor="text1"/>
          <w:sz w:val="32"/>
          <w:szCs w:val="32"/>
          <w14:textFill>
            <w14:solidFill>
              <w14:schemeClr w14:val="tx1"/>
            </w14:solidFill>
          </w14:textFill>
        </w:rPr>
        <w:t>日</w:t>
      </w:r>
    </w:p>
    <w:p>
      <w:pPr>
        <w:spacing w:line="440" w:lineRule="exact"/>
        <w:jc w:val="center"/>
        <w:rPr>
          <w:rFonts w:ascii="楷体_GB2312" w:hAnsi="华文中宋" w:eastAsia="楷体_GB2312"/>
          <w:b/>
          <w:color w:val="000000" w:themeColor="text1"/>
          <w:spacing w:val="6"/>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right="1953" w:rightChars="930" w:firstLine="640" w:firstLineChars="200"/>
        <w:textAlignment w:val="auto"/>
        <w:rPr>
          <w:rFonts w:ascii="仿宋_GB2312" w:hAnsi="Helvetica" w:eastAsia="仿宋_GB2312" w:cs="Helvetica"/>
          <w:bCs/>
          <w:color w:val="000000" w:themeColor="text1"/>
          <w:sz w:val="32"/>
          <w:szCs w:val="32"/>
          <w14:textFill>
            <w14:solidFill>
              <w14:schemeClr w14:val="tx1"/>
            </w14:solidFill>
          </w14:textFill>
        </w:rPr>
      </w:pPr>
      <w:r>
        <w:rPr>
          <w:rFonts w:hint="eastAsia" w:ascii="仿宋_GB2312" w:hAnsi="Helvetica" w:eastAsia="仿宋_GB2312" w:cs="Helvetica"/>
          <w:bCs/>
          <w:color w:val="000000" w:themeColor="text1"/>
          <w:sz w:val="32"/>
          <w:szCs w:val="32"/>
          <w14:textFill>
            <w14:solidFill>
              <w14:schemeClr w14:val="tx1"/>
            </w14:solidFill>
          </w14:textFill>
        </w:rPr>
        <w:t>广大县政协委员及委员工作室通过接待群众、实地调研考察和走访基层群众，多方收集社情民意。根据《政协安徽省委员会反映社情民意信息工作条例》有关规定，现将收集的社情民意信息随文报送，供相关部门阅研，办理结果望函告。</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ascii="仿宋_GB2312" w:hAnsi="Helvetica" w:eastAsia="仿宋_GB2312" w:cs="Helvetica"/>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ascii="仿宋_GB2312" w:hAnsi="Helvetica" w:eastAsia="仿宋_GB2312" w:cs="Helvetica"/>
          <w:bCs/>
          <w:color w:val="000000" w:themeColor="text1"/>
          <w:sz w:val="32"/>
          <w:szCs w:val="32"/>
          <w14:textFill>
            <w14:solidFill>
              <w14:schemeClr w14:val="tx1"/>
            </w14:solidFill>
          </w14:textFill>
        </w:rPr>
      </w:pPr>
      <w:r>
        <w:rPr>
          <w:rFonts w:hint="eastAsia" w:ascii="仿宋_GB2312" w:hAnsi="Helvetica" w:eastAsia="仿宋_GB2312" w:cs="Helvetica"/>
          <w:bCs/>
          <w:color w:val="000000" w:themeColor="text1"/>
          <w:sz w:val="32"/>
          <w:szCs w:val="32"/>
          <w14:textFill>
            <w14:solidFill>
              <w14:schemeClr w14:val="tx1"/>
            </w14:solidFill>
          </w14:textFill>
        </w:rPr>
        <w:t>附：社情民意信息</w:t>
      </w:r>
    </w:p>
    <w:p>
      <w:pPr>
        <w:spacing w:line="240" w:lineRule="exact"/>
        <w:rPr>
          <w:rFonts w:ascii="仿宋_GB2312" w:hAnsi="Helvetica" w:eastAsia="仿宋_GB2312" w:cs="Helvetica"/>
          <w:bCs/>
          <w:color w:val="000000" w:themeColor="text1"/>
          <w:sz w:val="32"/>
          <w:szCs w:val="32"/>
          <w14:textFill>
            <w14:solidFill>
              <w14:schemeClr w14:val="tx1"/>
            </w14:solidFill>
          </w14:textFill>
        </w:rPr>
      </w:pPr>
    </w:p>
    <w:p>
      <w:pPr>
        <w:spacing w:line="600" w:lineRule="exact"/>
        <w:jc w:val="center"/>
        <w:rPr>
          <w:rFonts w:ascii="华文中宋" w:hAnsi="华文中宋" w:eastAsia="华文中宋"/>
          <w:b/>
          <w:color w:val="000000" w:themeColor="text1"/>
          <w:sz w:val="44"/>
          <w:szCs w:val="44"/>
          <w14:textFill>
            <w14:solidFill>
              <w14:schemeClr w14:val="tx1"/>
            </w14:solidFill>
          </w14:textFill>
        </w:rPr>
      </w:pPr>
    </w:p>
    <w:p>
      <w:pPr>
        <w:spacing w:line="600" w:lineRule="exact"/>
        <w:jc w:val="center"/>
        <w:rPr>
          <w:rFonts w:ascii="华文中宋" w:hAnsi="华文中宋" w:eastAsia="华文中宋"/>
          <w:b/>
          <w:color w:val="000000" w:themeColor="text1"/>
          <w:sz w:val="44"/>
          <w:szCs w:val="44"/>
          <w14:textFill>
            <w14:solidFill>
              <w14:schemeClr w14:val="tx1"/>
            </w14:solidFill>
          </w14:textFill>
        </w:rPr>
      </w:pPr>
    </w:p>
    <w:p>
      <w:pPr>
        <w:spacing w:line="600" w:lineRule="exact"/>
        <w:rPr>
          <w:rFonts w:ascii="华文中宋" w:hAnsi="华文中宋" w:eastAsia="华文中宋"/>
          <w:b/>
          <w:color w:val="000000" w:themeColor="text1"/>
          <w:sz w:val="44"/>
          <w:szCs w:val="44"/>
          <w14:textFill>
            <w14:solidFill>
              <w14:schemeClr w14:val="tx1"/>
            </w14:solidFill>
          </w14:textFill>
        </w:rPr>
      </w:pPr>
    </w:p>
    <w:p>
      <w:pPr>
        <w:spacing w:line="600" w:lineRule="exact"/>
        <w:rPr>
          <w:rFonts w:ascii="华文中宋" w:hAnsi="华文中宋" w:eastAsia="华文中宋"/>
          <w:b/>
          <w:color w:val="000000" w:themeColor="text1"/>
          <w:sz w:val="44"/>
          <w:szCs w:val="44"/>
          <w14:textFill>
            <w14:solidFill>
              <w14:schemeClr w14:val="tx1"/>
            </w14:solidFill>
          </w14:textFill>
        </w:rPr>
      </w:pPr>
    </w:p>
    <w:p>
      <w:pPr>
        <w:spacing w:line="600" w:lineRule="exact"/>
        <w:jc w:val="center"/>
        <w:rPr>
          <w:rFonts w:ascii="华文中宋" w:hAnsi="华文中宋" w:eastAsia="华文中宋"/>
          <w:b/>
          <w:color w:val="000000" w:themeColor="text1"/>
          <w:spacing w:val="20"/>
          <w:sz w:val="44"/>
          <w:szCs w:val="44"/>
          <w14:textFill>
            <w14:solidFill>
              <w14:schemeClr w14:val="tx1"/>
            </w14:solidFill>
          </w14:textFill>
        </w:rPr>
      </w:pPr>
    </w:p>
    <w:p>
      <w:pP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一、关于加大“医”“养”人才培养力度的建议</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outlineLvl w:val="9"/>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40"/>
          <w:lang w:val="en-US" w:eastAsia="zh-CN"/>
          <w14:textFill>
            <w14:solidFill>
              <w14:schemeClr w14:val="tx1"/>
            </w14:solidFill>
          </w14:textFill>
        </w:rPr>
        <w:t>唐曾贵委员反映：</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据中国经济研究发展协会公布的预测，到2035-2050年，我国老年人口可能达到5亿人。对于健康养老产业来说，无疑是一个巨大挑战。推进“医养融合</w:t>
      </w:r>
      <w:r>
        <w:rPr>
          <w:rFonts w:hint="default" w:ascii="仿宋_GB2312" w:hAnsi="仿宋_GB2312" w:eastAsia="仿宋_GB2312" w:cs="仿宋_GB2312"/>
          <w:color w:val="000000" w:themeColor="text1"/>
          <w:sz w:val="32"/>
          <w:szCs w:val="40"/>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，关键在人才。作为专业化的特殊服务，医养融合的养老模式，需要经过系统培训的不同层次专业人员。为此建议：</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outlineLvl w:val="9"/>
        <w:rPr>
          <w:rFonts w:hint="default"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40"/>
          <w:lang w:val="en-US" w:eastAsia="zh-CN"/>
          <w14:textFill>
            <w14:solidFill>
              <w14:schemeClr w14:val="tx1"/>
            </w14:solidFill>
          </w14:textFill>
        </w:rPr>
        <w:t>一是</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鼓励宣城市工业学校开设与养老服务业相匹配的健康服务与管理、中医康复学、中医养生学、运动康复、老年人心理关怀等专业, 增设实操课程和资格考试, 加强医养融合人才衔接。</w:t>
      </w:r>
      <w:r>
        <w:rPr>
          <w:rFonts w:hint="eastAsia" w:ascii="仿宋_GB2312" w:hAnsi="仿宋_GB2312" w:eastAsia="仿宋_GB2312" w:cs="仿宋_GB2312"/>
          <w:b/>
          <w:bCs/>
          <w:color w:val="000000" w:themeColor="text1"/>
          <w:sz w:val="32"/>
          <w:szCs w:val="40"/>
          <w:lang w:val="en-US" w:eastAsia="zh-CN"/>
          <w14:textFill>
            <w14:solidFill>
              <w14:schemeClr w14:val="tx1"/>
            </w14:solidFill>
          </w14:textFill>
        </w:rPr>
        <w:t>二是</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落实职称评定，引导机构制定切合实际的职称评定、执业资格和注册考核政策。</w:t>
      </w:r>
      <w:r>
        <w:rPr>
          <w:rFonts w:hint="eastAsia" w:ascii="仿宋_GB2312" w:hAnsi="仿宋_GB2312" w:eastAsia="仿宋_GB2312" w:cs="仿宋_GB2312"/>
          <w:b/>
          <w:bCs/>
          <w:color w:val="000000" w:themeColor="text1"/>
          <w:sz w:val="32"/>
          <w:szCs w:val="40"/>
          <w:lang w:val="en-US" w:eastAsia="zh-CN"/>
          <w14:textFill>
            <w14:solidFill>
              <w14:schemeClr w14:val="tx1"/>
            </w14:solidFill>
          </w14:textFill>
        </w:rPr>
        <w:t>三是</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落实落细职业培训补贴、职业技能鉴定补贴、就业创业服务补贴等相关政策，加大对养老服务业专门人才的培育和优待，避免优秀人才流失，推动养老服务业专门人才培养不断扩大规模。（委员联系方式：13956570365，建议承办单位：县卫健委、县人社局、宣城市工业学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二、关于根据季节合理设置路灯开关时间的建议</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outlineLvl w:val="9"/>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40"/>
          <w:lang w:val="en-US" w:eastAsia="zh-CN"/>
          <w14:textFill>
            <w14:solidFill>
              <w14:schemeClr w14:val="tx1"/>
            </w14:solidFill>
          </w14:textFill>
        </w:rPr>
        <w:t>翟光生委员反映：</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路灯是城市的“眼睛”，是城市繁华、文明的象征。随着城区规模的不断扩大、道路的增多，县城的路灯也越来越多，不仅为市民夜间和清晨出行带来了方便，也提升了城市形象，为县城增加了一道靓丽的风景线。目前已经进入夏季，早晨4：30已基本放亮，5：30太阳已经出来了，晚上19：20左右天才黑。据调查，县城多数路段路灯的开启和关闭时间是晚上19：00开启、早上5：00关闭。但是也有部分路段的路灯的开启、关闭时间设置不尽合理。如幕溪南路（桃花潭东路往御溪相府方向）以及青弋江总干渠（财富路高架桥往桃花潭东路方向）的路灯晚上18：30就亮了、早上5：33才关闭，出现“路灯亮时天仍明、路灯灭时太阳升”的不合理现象，严重浪费电力资源和财政资金。为此，建议路灯管理部门：</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outlineLvl w:val="9"/>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40"/>
          <w:lang w:val="en-US" w:eastAsia="zh-CN"/>
          <w14:textFill>
            <w14:solidFill>
              <w14:schemeClr w14:val="tx1"/>
            </w14:solidFill>
          </w14:textFill>
        </w:rPr>
        <w:t>一是</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应根据不同季节天亮天黑的时间变化，科学合理设置城区路灯的开关时间，让路灯“作息时间”随着天气走，如上述路段路灯，晚上可延迟半小时开启，早晨提前半小时关闭。</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outlineLvl w:val="9"/>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40"/>
          <w:lang w:val="en-US" w:eastAsia="zh-CN"/>
          <w14:textFill>
            <w14:solidFill>
              <w14:schemeClr w14:val="tx1"/>
            </w14:solidFill>
          </w14:textFill>
        </w:rPr>
        <w:t>二是</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全面排查城区所有路段的路灯，在条件允许的情况采用智能化城市照明系统，根据光线的变化自动控制路灯的开启和关闭，做到既不影响市民日常生活，又杜绝不必要的能源浪费。（委员联系方式：18956336896，建议承办单位：县住建局</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Theme="majorEastAsia" w:hAnsiTheme="majorEastAsia" w:eastAsiaTheme="majorEastAsia"/>
          <w:b/>
          <w:bCs/>
          <w:sz w:val="44"/>
          <w:szCs w:val="44"/>
          <w:shd w:val="clear" w:color="auto" w:fill="FFFFFF"/>
        </w:rPr>
      </w:pPr>
      <w:r>
        <w:rPr>
          <w:rFonts w:hint="eastAsia" w:ascii="黑体" w:hAnsi="黑体" w:eastAsia="黑体" w:cs="黑体"/>
          <w:color w:val="000000" w:themeColor="text1"/>
          <w:sz w:val="32"/>
          <w:szCs w:val="40"/>
          <w:lang w:val="en-US" w:eastAsia="zh-CN"/>
          <w14:textFill>
            <w14:solidFill>
              <w14:schemeClr w14:val="tx1"/>
            </w14:solidFill>
          </w14:textFill>
        </w:rPr>
        <w:t>三、关于加强城区生活垃圾转运过程污水渗漏处理的建议</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outlineLvl w:val="9"/>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40"/>
          <w:lang w:val="en-US" w:eastAsia="zh-CN"/>
          <w14:textFill>
            <w14:solidFill>
              <w14:schemeClr w14:val="tx1"/>
            </w14:solidFill>
          </w14:textFill>
        </w:rPr>
        <w:t>陈学新委员反映：</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据走访调研发现，我县城区生活垃圾经青弋江北路、泾川大道转运至泾县垃圾处理站过程中，清运车辆垃圾污水渗漏严重，沿途道路均有渗漏，特别是转弯处、红绿灯路口渗漏严重，满地污水，不仅污染道路，而且沿途空气充满刺鼻难闻的异味，令人窒息，沿途群众对此意见很大。希望有关部门给予处理。（委员联系方式：13966202986，建议承办单位：县城管局</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Times New Roman" w:hAnsi="仿宋" w:eastAsia="仿宋" w:cs="Times New Roman"/>
          <w:sz w:val="32"/>
          <w:szCs w:val="32"/>
        </w:rPr>
      </w:pPr>
      <w:r>
        <w:rPr>
          <w:rFonts w:hint="eastAsia" w:ascii="Times New Roman" w:hAnsi="仿宋" w:eastAsia="仿宋" w:cs="Times New Roman"/>
          <w:sz w:val="32"/>
          <w:szCs w:val="32"/>
        </w:rPr>
        <w:t>附</w:t>
      </w:r>
      <w:r>
        <w:rPr>
          <w:rFonts w:hint="eastAsia" w:ascii="Times New Roman" w:hAnsi="仿宋" w:eastAsia="仿宋" w:cs="Times New Roman"/>
          <w:sz w:val="32"/>
          <w:szCs w:val="32"/>
          <w:lang w:eastAsia="zh-CN"/>
        </w:rPr>
        <w:t>图：</w:t>
      </w:r>
      <w:r>
        <w:rPr>
          <w:rFonts w:hint="eastAsia" w:ascii="Times New Roman" w:hAnsi="仿宋" w:eastAsia="仿宋" w:cs="Times New Roman"/>
          <w:sz w:val="32"/>
          <w:szCs w:val="32"/>
          <w:lang w:val="en-US" w:eastAsia="zh-CN"/>
        </w:rPr>
        <w:t>污水渗漏照片</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Times New Roman" w:hAnsi="Times New Roman" w:eastAsia="仿宋" w:cs="Times New Roman"/>
          <w:sz w:val="32"/>
          <w:szCs w:val="32"/>
        </w:rPr>
      </w:pPr>
      <w:r>
        <w:rPr>
          <w:rFonts w:ascii="Times New Roman" w:hAnsi="Times New Roman" w:eastAsia="仿宋" w:cs="Times New Roman"/>
          <w:sz w:val="32"/>
          <w:szCs w:val="32"/>
        </w:rPr>
        <w:drawing>
          <wp:anchor distT="0" distB="0" distL="0" distR="0" simplePos="0" relativeHeight="251662336" behindDoc="0" locked="0" layoutInCell="1" allowOverlap="1">
            <wp:simplePos x="0" y="0"/>
            <wp:positionH relativeFrom="column">
              <wp:posOffset>724535</wp:posOffset>
            </wp:positionH>
            <wp:positionV relativeFrom="paragraph">
              <wp:posOffset>95250</wp:posOffset>
            </wp:positionV>
            <wp:extent cx="4211320" cy="2486660"/>
            <wp:effectExtent l="0" t="0" r="17780" b="8890"/>
            <wp:wrapSquare wrapText="bothSides"/>
            <wp:docPr id="7" name="图片 2" descr="C:\Users\Administrator\Documents\WeChat Files\wxid_3qvaultrx6l922\FileStorage\Temp\dd0fa9735e11deed13c924b08ab3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ocuments\WeChat Files\wxid_3qvaultrx6l922\FileStorage\Temp\dd0fa9735e11deed13c924b08ab3ed7.jpg"/>
                    <pic:cNvPicPr>
                      <a:picLocks noChangeAspect="1" noChangeArrowheads="1"/>
                    </pic:cNvPicPr>
                  </pic:nvPicPr>
                  <pic:blipFill>
                    <a:blip r:embed="rId6" cstate="print"/>
                    <a:srcRect/>
                    <a:stretch>
                      <a:fillRect/>
                    </a:stretch>
                  </pic:blipFill>
                  <pic:spPr>
                    <a:xfrm>
                      <a:off x="0" y="0"/>
                      <a:ext cx="4211320" cy="248666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9"/>
        <w:rPr>
          <w:rFonts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9"/>
        <w:rPr>
          <w:rFonts w:ascii="Times New Roman" w:hAnsi="Times New Roman" w:eastAsia="仿宋"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r>
        <w:rPr>
          <w:rFonts w:ascii="Times New Roman" w:hAnsi="Times New Roman" w:eastAsia="仿宋" w:cs="Times New Roman"/>
          <w:sz w:val="32"/>
          <w:szCs w:val="32"/>
        </w:rPr>
        <w:drawing>
          <wp:anchor distT="0" distB="0" distL="0" distR="0" simplePos="0" relativeHeight="251665408" behindDoc="0" locked="0" layoutInCell="1" allowOverlap="1">
            <wp:simplePos x="0" y="0"/>
            <wp:positionH relativeFrom="column">
              <wp:posOffset>744855</wp:posOffset>
            </wp:positionH>
            <wp:positionV relativeFrom="paragraph">
              <wp:posOffset>44450</wp:posOffset>
            </wp:positionV>
            <wp:extent cx="4130675" cy="2505710"/>
            <wp:effectExtent l="0" t="0" r="3175" b="8890"/>
            <wp:wrapSquare wrapText="bothSides"/>
            <wp:docPr id="6" name="图片 1" descr="C:\Users\Administrator\Documents\WeChat Files\wxid_3qvaultrx6l922\FileStorage\Temp\7df758ba26a4c881da5c189077dd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ocuments\WeChat Files\wxid_3qvaultrx6l922\FileStorage\Temp\7df758ba26a4c881da5c189077dddde.jpg"/>
                    <pic:cNvPicPr>
                      <a:picLocks noChangeAspect="1" noChangeArrowheads="1"/>
                    </pic:cNvPicPr>
                  </pic:nvPicPr>
                  <pic:blipFill>
                    <a:blip r:embed="rId7" cstate="print"/>
                    <a:srcRect/>
                    <a:stretch>
                      <a:fillRect/>
                    </a:stretch>
                  </pic:blipFill>
                  <pic:spPr>
                    <a:xfrm>
                      <a:off x="0" y="0"/>
                      <a:ext cx="4130675" cy="2505710"/>
                    </a:xfrm>
                    <a:prstGeom prst="rect">
                      <a:avLst/>
                    </a:prstGeom>
                    <a:noFill/>
                    <a:ln w="9525">
                      <a:noFill/>
                      <a:miter lim="800000"/>
                      <a:headEnd/>
                      <a:tailEnd/>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sz w:val="44"/>
          <w:szCs w:val="44"/>
        </w:rPr>
      </w:pPr>
      <w:r>
        <w:rPr>
          <w:rFonts w:hint="eastAsia" w:ascii="黑体" w:hAnsi="黑体" w:eastAsia="黑体" w:cs="黑体"/>
          <w:color w:val="000000" w:themeColor="text1"/>
          <w:sz w:val="32"/>
          <w:szCs w:val="40"/>
          <w:lang w:val="en-US" w:eastAsia="zh-CN"/>
          <w14:textFill>
            <w14:solidFill>
              <w14:schemeClr w14:val="tx1"/>
            </w14:solidFill>
          </w14:textFill>
        </w:rPr>
        <w:t>四、关于尽快修复幕溪河（安天康城段）损坏护栏的建议</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outlineLvl w:val="9"/>
        <w:rPr>
          <w:rFonts w:hint="eastAsia" w:ascii="仿宋" w:hAnsi="仿宋" w:eastAsia="仿宋" w:cs="仿宋"/>
          <w:sz w:val="32"/>
          <w:szCs w:val="32"/>
          <w:lang w:val="en-US" w:eastAsia="zh-CN"/>
        </w:rPr>
      </w:pPr>
      <w:r>
        <w:rPr>
          <w:rFonts w:hint="eastAsia" w:ascii="楷体_GB2312" w:hAnsi="楷体_GB2312" w:eastAsia="楷体_GB2312" w:cs="楷体_GB2312"/>
          <w:b/>
          <w:bCs/>
          <w:color w:val="000000" w:themeColor="text1"/>
          <w:sz w:val="32"/>
          <w:szCs w:val="40"/>
          <w:lang w:val="en-US" w:eastAsia="zh-CN"/>
          <w14:textFill>
            <w14:solidFill>
              <w14:schemeClr w14:val="tx1"/>
            </w14:solidFill>
          </w14:textFill>
        </w:rPr>
        <w:t>毛晓燕委员反映：</w:t>
      </w:r>
      <w:r>
        <w:rPr>
          <w:rFonts w:hint="eastAsia" w:ascii="仿宋_GB2312" w:hAnsi="仿宋_GB2312" w:eastAsia="仿宋_GB2312" w:cs="仿宋_GB2312"/>
          <w:sz w:val="32"/>
          <w:szCs w:val="32"/>
          <w:lang w:val="en-US" w:eastAsia="zh-CN"/>
        </w:rPr>
        <w:t>幕溪河穿县城而过，幕溪河两边的骑行步道也成为城区居民日常休闲健身的重要场所，但就是在这条河居民比较聚集的安天康城段，沿河的护栏损坏严重，损坏率超过40%，部分河段整段护栏缺失（部分损坏照片附后），这不仅严重影响了沿河的景观，加上暑期到来，给在沿河锻炼和散步的行人造成了一定的安全隐患，为此建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3"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全面排查沿河损坏的护栏，尽快完成损坏护栏的修复，消除安全隐患。</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在沿线设置禁止下水的警示牌，预防溺水事故的发生。</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按照应急救护的要求，在沿线设置救身圈及救援竹竿，防患于未然。（委员联系方式：13966164635，建议承办单位：</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县住建局、泾川镇</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附图：安天康城段护栏损坏照片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anchor distT="0" distB="0" distL="114300" distR="114300" simplePos="0" relativeHeight="251663360" behindDoc="0" locked="0" layoutInCell="1" allowOverlap="1">
            <wp:simplePos x="0" y="0"/>
            <wp:positionH relativeFrom="column">
              <wp:posOffset>817245</wp:posOffset>
            </wp:positionH>
            <wp:positionV relativeFrom="paragraph">
              <wp:posOffset>158750</wp:posOffset>
            </wp:positionV>
            <wp:extent cx="4366260" cy="2412365"/>
            <wp:effectExtent l="0" t="0" r="15240" b="6985"/>
            <wp:wrapSquare wrapText="bothSides"/>
            <wp:docPr id="9" name="图片 9" descr="be4e578ba4a8b467361f690f0f8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e4e578ba4a8b467361f690f0f83117"/>
                    <pic:cNvPicPr>
                      <a:picLocks noChangeAspect="1"/>
                    </pic:cNvPicPr>
                  </pic:nvPicPr>
                  <pic:blipFill>
                    <a:blip r:embed="rId8"/>
                    <a:stretch>
                      <a:fillRect/>
                    </a:stretch>
                  </pic:blipFill>
                  <pic:spPr>
                    <a:xfrm>
                      <a:off x="0" y="0"/>
                      <a:ext cx="4366260" cy="241236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r>
        <w:rPr>
          <w:rFonts w:hint="default" w:ascii="仿宋" w:hAnsi="仿宋" w:eastAsia="仿宋" w:cs="仿宋"/>
          <w:sz w:val="32"/>
          <w:szCs w:val="32"/>
          <w:lang w:val="en-US" w:eastAsia="zh-CN"/>
        </w:rPr>
        <w:drawing>
          <wp:anchor distT="0" distB="0" distL="114300" distR="114300" simplePos="0" relativeHeight="251664384" behindDoc="0" locked="0" layoutInCell="1" allowOverlap="1">
            <wp:simplePos x="0" y="0"/>
            <wp:positionH relativeFrom="column">
              <wp:posOffset>799465</wp:posOffset>
            </wp:positionH>
            <wp:positionV relativeFrom="paragraph">
              <wp:posOffset>210820</wp:posOffset>
            </wp:positionV>
            <wp:extent cx="4291965" cy="2393950"/>
            <wp:effectExtent l="0" t="0" r="13335" b="6350"/>
            <wp:wrapSquare wrapText="bothSides"/>
            <wp:docPr id="8" name="图片 8" descr="1c74b1ba95d9e7214372a2b58ca9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c74b1ba95d9e7214372a2b58ca926c"/>
                    <pic:cNvPicPr>
                      <a:picLocks noChangeAspect="1"/>
                    </pic:cNvPicPr>
                  </pic:nvPicPr>
                  <pic:blipFill>
                    <a:blip r:embed="rId9"/>
                    <a:stretch>
                      <a:fillRect/>
                    </a:stretch>
                  </pic:blipFill>
                  <pic:spPr>
                    <a:xfrm>
                      <a:off x="0" y="0"/>
                      <a:ext cx="4291965" cy="23939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五、关于取消部分街道非机动车道隔离栏杆的建议</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color w:val="000000" w:themeColor="text1"/>
          <w:sz w:val="32"/>
          <w:szCs w:val="40"/>
          <w:lang w:val="en-US" w:eastAsia="zh-CN"/>
          <w14:textFill>
            <w14:solidFill>
              <w14:schemeClr w14:val="tx1"/>
            </w14:solidFill>
          </w14:textFill>
        </w:rPr>
        <w:t>洪梅委员反映：</w:t>
      </w:r>
      <w:r>
        <w:rPr>
          <w:rFonts w:hint="eastAsia" w:ascii="仿宋_GB2312" w:hAnsi="仿宋_GB2312" w:eastAsia="仿宋_GB2312" w:cs="仿宋_GB2312"/>
          <w:sz w:val="32"/>
          <w:szCs w:val="32"/>
          <w:lang w:eastAsia="zh-CN"/>
        </w:rPr>
        <w:t>据调研发现，我县城区部分街道相对较窄，在路面增设了非机动车道隔离栏后，问题频出。比如，一是栏杆是半固定的受外力撞击后很容易脱离原有位置，影响行车安全；二是三轮车、老头乐等车辆车速较慢，在非机动车道行驶时极容易造成后方堵塞，特别是雨雪天气、放学高峰时间等；三是有些年纪大、反应慢的群众骑车时被后方超车时容易撞上栏杆，事故率明显提高。为此建议在老城区街道较窄的地段取消隔离栏杆，划出非机动车道实线，引导群众按要求线内行驶，减少意外事故发生率。（委员联系方式：</w:t>
      </w:r>
      <w:r>
        <w:rPr>
          <w:rFonts w:hint="eastAsia" w:ascii="仿宋_GB2312" w:hAnsi="仿宋_GB2312" w:eastAsia="仿宋_GB2312" w:cs="仿宋_GB2312"/>
          <w:sz w:val="32"/>
          <w:szCs w:val="32"/>
          <w:lang w:val="en-US" w:eastAsia="zh-CN"/>
        </w:rPr>
        <w:t>18056333080，建议承办单位</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：县公安局</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六、关于加强宣城市宣城市工业学校新校区路口交通安全的建议</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firstLine="643" w:firstLineChars="200"/>
        <w:jc w:val="both"/>
        <w:textAlignment w:val="auto"/>
        <w:outlineLvl w:val="9"/>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楷体_GB2312" w:hAnsi="楷体_GB2312" w:eastAsia="楷体_GB2312" w:cs="楷体_GB2312"/>
          <w:b/>
          <w:bCs/>
          <w:color w:val="auto"/>
          <w:kern w:val="2"/>
          <w:sz w:val="32"/>
          <w:szCs w:val="32"/>
          <w:lang w:val="en-US" w:eastAsia="zh-CN" w:bidi="ar-SA"/>
        </w:rPr>
        <w:t>吴同茂委员反映：</w:t>
      </w:r>
      <w:r>
        <w:rPr>
          <w:rFonts w:hint="eastAsia" w:ascii="仿宋_GB2312" w:hAnsi="仿宋_GB2312" w:eastAsia="仿宋_GB2312" w:cs="仿宋_GB2312"/>
          <w:b w:val="0"/>
          <w:bCs w:val="0"/>
          <w:color w:val="auto"/>
          <w:kern w:val="2"/>
          <w:sz w:val="32"/>
          <w:szCs w:val="32"/>
          <w:highlight w:val="none"/>
          <w:lang w:val="en-US" w:eastAsia="zh-CN" w:bidi="ar-SA"/>
        </w:rPr>
        <w:t>宣城市工业学校新校区大门正对着205国道，并交叉有省道、村道，学生出行存在极大的交通安全隐患：一是学校正大门前十字路口只有限速标志，未安装限速设备，车辆仍然超速行驶；二是该路段中间绿化带生长茂密，严重遮挡了驾驶者视线；三是一些学生骑车逆向行驶，极容易发生交通事故。为此建议：</w:t>
      </w:r>
      <w:r>
        <w:rPr>
          <w:rFonts w:hint="eastAsia" w:ascii="仿宋_GB2312" w:hAnsi="仿宋_GB2312" w:eastAsia="仿宋_GB2312" w:cs="仿宋_GB2312"/>
          <w:b/>
          <w:bCs/>
          <w:color w:val="auto"/>
          <w:kern w:val="2"/>
          <w:sz w:val="32"/>
          <w:szCs w:val="32"/>
          <w:highlight w:val="none"/>
          <w:lang w:val="en-US" w:eastAsia="zh-CN" w:bidi="ar-SA"/>
        </w:rPr>
        <w:t>一是</w:t>
      </w:r>
      <w:r>
        <w:rPr>
          <w:rFonts w:hint="eastAsia" w:ascii="仿宋_GB2312" w:hAnsi="仿宋_GB2312" w:eastAsia="仿宋_GB2312" w:cs="仿宋_GB2312"/>
          <w:b w:val="0"/>
          <w:bCs w:val="0"/>
          <w:color w:val="auto"/>
          <w:kern w:val="2"/>
          <w:sz w:val="32"/>
          <w:szCs w:val="32"/>
          <w:highlight w:val="none"/>
          <w:lang w:val="en-US" w:eastAsia="zh-CN" w:bidi="ar-SA"/>
        </w:rPr>
        <w:t>在十字路口安装限速设备（安装红绿灯或者测速探头），并在学校大门出口左右主干道设置减速带。</w:t>
      </w:r>
      <w:r>
        <w:rPr>
          <w:rFonts w:hint="eastAsia" w:ascii="仿宋_GB2312" w:hAnsi="仿宋_GB2312" w:eastAsia="仿宋_GB2312" w:cs="仿宋_GB2312"/>
          <w:b/>
          <w:bCs/>
          <w:color w:val="auto"/>
          <w:kern w:val="2"/>
          <w:sz w:val="32"/>
          <w:szCs w:val="32"/>
          <w:highlight w:val="none"/>
          <w:lang w:val="en-US" w:eastAsia="zh-CN" w:bidi="ar-SA"/>
        </w:rPr>
        <w:t>二是</w:t>
      </w:r>
      <w:r>
        <w:rPr>
          <w:rFonts w:hint="eastAsia" w:ascii="仿宋_GB2312" w:hAnsi="仿宋_GB2312" w:eastAsia="仿宋_GB2312" w:cs="仿宋_GB2312"/>
          <w:b w:val="0"/>
          <w:bCs w:val="0"/>
          <w:color w:val="auto"/>
          <w:kern w:val="2"/>
          <w:sz w:val="32"/>
          <w:szCs w:val="32"/>
          <w:highlight w:val="none"/>
          <w:lang w:val="en-US" w:eastAsia="zh-CN" w:bidi="ar-SA"/>
        </w:rPr>
        <w:t>定期修剪中间绿，确保驾驶员视线清楚。</w:t>
      </w:r>
      <w:r>
        <w:rPr>
          <w:rFonts w:hint="eastAsia" w:ascii="仿宋_GB2312" w:hAnsi="仿宋_GB2312" w:eastAsia="仿宋_GB2312" w:cs="仿宋_GB2312"/>
          <w:b/>
          <w:bCs/>
          <w:color w:val="auto"/>
          <w:kern w:val="2"/>
          <w:sz w:val="32"/>
          <w:szCs w:val="32"/>
          <w:highlight w:val="none"/>
          <w:lang w:val="en-US" w:eastAsia="zh-CN" w:bidi="ar-SA"/>
        </w:rPr>
        <w:t>三是</w:t>
      </w:r>
      <w:r>
        <w:rPr>
          <w:rFonts w:hint="eastAsia" w:ascii="仿宋_GB2312" w:hAnsi="仿宋_GB2312" w:eastAsia="仿宋_GB2312" w:cs="仿宋_GB2312"/>
          <w:b w:val="0"/>
          <w:bCs w:val="0"/>
          <w:color w:val="auto"/>
          <w:kern w:val="2"/>
          <w:sz w:val="32"/>
          <w:szCs w:val="32"/>
          <w:highlight w:val="none"/>
          <w:lang w:val="en-US" w:eastAsia="zh-CN" w:bidi="ar-SA"/>
        </w:rPr>
        <w:t>安排交警、交通协管员在上学、放学时间对学生进行文明交通劝导。(委员联系方式：13805629639，建议承办单位</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：县公安局、县交运局)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七、关于增设非机动车等候区遮阳棚的建议</w:t>
      </w:r>
    </w:p>
    <w:p>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600" w:lineRule="exact"/>
        <w:ind w:left="0" w:firstLine="643" w:firstLineChars="200"/>
        <w:jc w:val="both"/>
        <w:textAlignment w:val="auto"/>
        <w:outlineLvl w:val="9"/>
        <w:rPr>
          <w:rFonts w:hint="eastAsia" w:ascii="仿宋_GB2312" w:hAnsi="仿宋_GB2312" w:eastAsia="仿宋_GB2312" w:cs="仿宋_GB2312"/>
          <w:b w:val="0"/>
          <w:bCs w:val="0"/>
          <w:color w:val="auto"/>
          <w:kern w:val="2"/>
          <w:sz w:val="32"/>
          <w:szCs w:val="32"/>
          <w:lang w:val="en-US" w:eastAsia="zh-CN" w:bidi="ar-SA"/>
        </w:rPr>
      </w:pPr>
      <w:r>
        <w:rPr>
          <w:rFonts w:hint="eastAsia" w:ascii="楷体_GB2312" w:hAnsi="楷体_GB2312" w:eastAsia="楷体_GB2312" w:cs="楷体_GB2312"/>
          <w:b/>
          <w:bCs/>
          <w:color w:val="auto"/>
          <w:kern w:val="2"/>
          <w:sz w:val="32"/>
          <w:szCs w:val="32"/>
          <w:lang w:val="en-US" w:eastAsia="zh-CN" w:bidi="ar-SA"/>
        </w:rPr>
        <w:t>陈万良委员反映：</w:t>
      </w:r>
      <w:bookmarkStart w:id="0" w:name="_GoBack"/>
      <w:bookmarkEnd w:id="0"/>
      <w:r>
        <w:rPr>
          <w:rFonts w:hint="eastAsia" w:ascii="仿宋_GB2312" w:hAnsi="仿宋_GB2312" w:eastAsia="仿宋_GB2312" w:cs="仿宋_GB2312"/>
          <w:b w:val="0"/>
          <w:bCs w:val="0"/>
          <w:color w:val="auto"/>
          <w:kern w:val="2"/>
          <w:sz w:val="32"/>
          <w:szCs w:val="32"/>
          <w:highlight w:val="none"/>
          <w:lang w:val="en-US" w:eastAsia="zh-CN" w:bidi="ar-SA"/>
        </w:rPr>
        <w:t>夏季天气炎热，太阳直射导致路口路面温度极高，非机动车在行路过程中遇到红灯少则要等三十秒，多则要等一分多钟，全身暴晒在烈日下等红灯，特别容易引发非机动车为避免暴晒而闯红灯或越线停车等行为。目前我县部分路口已安装遮阳棚，但还有很多主要路口没有树荫遮挡且未安装遮阳棚。此外下雨天气也容易发生闯红灯等行为。为缓解非机动车在交通路口等红绿灯时烈日暴晒、淋雨的问题，结合我县道路交通管理实际情况，建议在我县主要交通路口和人流量多的路口增设非机动车等候区遮阳棚，服务群众出行，减少交通事故的发生。</w:t>
      </w:r>
      <w:r>
        <w:rPr>
          <w:rFonts w:hint="eastAsia" w:ascii="仿宋_GB2312" w:hAnsi="仿宋_GB2312" w:eastAsia="仿宋_GB2312" w:cs="仿宋_GB2312"/>
          <w:b w:val="0"/>
          <w:bCs w:val="0"/>
          <w:color w:val="auto"/>
          <w:kern w:val="2"/>
          <w:sz w:val="32"/>
          <w:szCs w:val="32"/>
          <w:lang w:val="en-US" w:eastAsia="zh-CN" w:bidi="ar-SA"/>
        </w:rPr>
        <w:t>（委员联系方式：18856399888，建议承办单位</w:t>
      </w:r>
      <w:r>
        <w:rPr>
          <w:rFonts w:hint="eastAsia" w:ascii="仿宋_GB2312" w:hAnsi="仿宋_GB2312" w:eastAsia="仿宋_GB2312" w:cs="仿宋_GB2312"/>
          <w:b w:val="0"/>
          <w:bCs w:val="0"/>
          <w:color w:val="auto"/>
          <w:kern w:val="2"/>
          <w:sz w:val="32"/>
          <w:szCs w:val="32"/>
          <w:highlight w:val="none"/>
          <w:lang w:val="en-US" w:eastAsia="zh-CN" w:bidi="ar-SA"/>
        </w:rPr>
        <w:t>：县住建局</w:t>
      </w:r>
      <w:r>
        <w:rPr>
          <w:rFonts w:hint="eastAsia" w:ascii="仿宋_GB2312" w:hAnsi="仿宋_GB2312" w:eastAsia="仿宋_GB2312" w:cs="仿宋_GB2312"/>
          <w:b w:val="0"/>
          <w:bCs w:val="0"/>
          <w:color w:val="auto"/>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 xml:space="preserve">                         </w:t>
      </w:r>
    </w:p>
    <w:sectPr>
      <w:headerReference r:id="rId3" w:type="first"/>
      <w:footerReference r:id="rId4" w:type="default"/>
      <w:pgSz w:w="11906" w:h="16838"/>
      <w:pgMar w:top="2041" w:right="1588" w:bottom="1587" w:left="1588" w:header="851" w:footer="1020"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美黑简体">
    <w:altName w:val="黑体"/>
    <w:panose1 w:val="03000509000000000000"/>
    <w:charset w:val="86"/>
    <w:family w:val="script"/>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Helvetica">
    <w:altName w:val="Arial"/>
    <w:panose1 w:val="020B0504020202020204"/>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5"/>
                            <w:rPr>
                              <w:rFonts w:ascii="仿宋_GB2312" w:hAnsi="仿宋_GB2312" w:eastAsia="仿宋_GB2312" w:cs="仿宋_GB2312"/>
                              <w:sz w:val="30"/>
                              <w:szCs w:val="30"/>
                            </w:rP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- 2 -</w:t>
                          </w:r>
                          <w:r>
                            <w:rPr>
                              <w:rFonts w:hint="eastAsia" w:ascii="仿宋_GB2312" w:hAnsi="仿宋_GB2312" w:eastAsia="仿宋_GB2312" w:cs="仿宋_GB2312"/>
                              <w:sz w:val="30"/>
                              <w:szCs w:val="30"/>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WAhFc0BAACnAwAADgAAAGRycy9lMm9Eb2MueG1srVPNjtMwEL4j8Q6W&#10;7zRpJ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rzlzwtKDX75/u/z4dfn5lS2T&#10;PH3AiqoeAtXF4c4PtDRzHCmYWA8t2PQlPozyJO75Kq4aIpPp0nq1XpeUkpSbHcIvHq8HwPhWecuS&#10;UXOg18uiitN7jGPpXJK6OX+vjckvaNxfAcIcIyqvwHQ7MRknTlYc9sNEb++bM7HraQ1q7mjrOTPv&#10;HKmcNmY2YDb2s3EMoA8dDbrMU2K4PUYaKU+aOoywxDA59H6Z67RraUH+9HPV4/+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XWAhFc0BAACnAwAADgAAAAAAAAABACAAAAAeAQAAZHJzL2Uy&#10;b0RvYy54bWxQSwUGAAAAAAYABgBZAQAAXQUAAAAA&#10;">
              <v:fill on="f" focussize="0,0"/>
              <v:stroke on="f"/>
              <v:imagedata o:title=""/>
              <o:lock v:ext="edit" aspectratio="f"/>
              <v:textbox inset="0mm,0mm,0mm,0mm" style="mso-fit-shape-to-text:t;">
                <w:txbxContent>
                  <w:p>
                    <w:pPr>
                      <w:pStyle w:val="5"/>
                      <w:rPr>
                        <w:rFonts w:ascii="仿宋_GB2312" w:hAnsi="仿宋_GB2312" w:eastAsia="仿宋_GB2312" w:cs="仿宋_GB2312"/>
                        <w:sz w:val="30"/>
                        <w:szCs w:val="30"/>
                      </w:rP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- 2 -</w:t>
                    </w:r>
                    <w:r>
                      <w:rPr>
                        <w:rFonts w:hint="eastAsia" w:ascii="仿宋_GB2312" w:hAnsi="仿宋_GB2312" w:eastAsia="仿宋_GB2312" w:cs="仿宋_GB2312"/>
                        <w:sz w:val="30"/>
                        <w:szCs w:val="3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zYzk5MWVlNTJhODZiY2I0MWMxYTliNmZlYjNlZjgifQ=="/>
  </w:docVars>
  <w:rsids>
    <w:rsidRoot w:val="00000000"/>
    <w:rsid w:val="00A6469D"/>
    <w:rsid w:val="01587A7B"/>
    <w:rsid w:val="01F92A98"/>
    <w:rsid w:val="03D124C1"/>
    <w:rsid w:val="0920077E"/>
    <w:rsid w:val="0A0B7A84"/>
    <w:rsid w:val="0AB97D26"/>
    <w:rsid w:val="0C5B5BC3"/>
    <w:rsid w:val="104A3DCC"/>
    <w:rsid w:val="10EF177C"/>
    <w:rsid w:val="146401FE"/>
    <w:rsid w:val="15267555"/>
    <w:rsid w:val="1696563B"/>
    <w:rsid w:val="1805274B"/>
    <w:rsid w:val="1A577CAA"/>
    <w:rsid w:val="1B255DB6"/>
    <w:rsid w:val="1C0F7519"/>
    <w:rsid w:val="1C2344FA"/>
    <w:rsid w:val="221A6282"/>
    <w:rsid w:val="24177A85"/>
    <w:rsid w:val="257F5FA5"/>
    <w:rsid w:val="259474CE"/>
    <w:rsid w:val="27106D79"/>
    <w:rsid w:val="2A4F574A"/>
    <w:rsid w:val="2A7501E7"/>
    <w:rsid w:val="2D551464"/>
    <w:rsid w:val="2D612801"/>
    <w:rsid w:val="2D9F6AE6"/>
    <w:rsid w:val="2E525B51"/>
    <w:rsid w:val="2F63107C"/>
    <w:rsid w:val="2F650CC7"/>
    <w:rsid w:val="313A2E40"/>
    <w:rsid w:val="32B071F1"/>
    <w:rsid w:val="33D16011"/>
    <w:rsid w:val="345A6F1F"/>
    <w:rsid w:val="35603A72"/>
    <w:rsid w:val="36620725"/>
    <w:rsid w:val="37F50743"/>
    <w:rsid w:val="382C3ECB"/>
    <w:rsid w:val="38C37B3C"/>
    <w:rsid w:val="39041279"/>
    <w:rsid w:val="39BC152D"/>
    <w:rsid w:val="3AA31880"/>
    <w:rsid w:val="3CB10385"/>
    <w:rsid w:val="3EBA65DC"/>
    <w:rsid w:val="41027453"/>
    <w:rsid w:val="41202C33"/>
    <w:rsid w:val="41D92AE6"/>
    <w:rsid w:val="41DA7820"/>
    <w:rsid w:val="44494124"/>
    <w:rsid w:val="4482092E"/>
    <w:rsid w:val="45AF4D71"/>
    <w:rsid w:val="45E354F9"/>
    <w:rsid w:val="48C56F33"/>
    <w:rsid w:val="49065567"/>
    <w:rsid w:val="4922521C"/>
    <w:rsid w:val="494E683C"/>
    <w:rsid w:val="4C5061C1"/>
    <w:rsid w:val="4E67472C"/>
    <w:rsid w:val="4E9841B0"/>
    <w:rsid w:val="4F615A94"/>
    <w:rsid w:val="5122795F"/>
    <w:rsid w:val="518E681B"/>
    <w:rsid w:val="53B352D1"/>
    <w:rsid w:val="545367E3"/>
    <w:rsid w:val="565536B5"/>
    <w:rsid w:val="572304FA"/>
    <w:rsid w:val="5A892CCF"/>
    <w:rsid w:val="5A96373F"/>
    <w:rsid w:val="5B093FD1"/>
    <w:rsid w:val="5C0E3E63"/>
    <w:rsid w:val="5C0E6B07"/>
    <w:rsid w:val="5C3C40CD"/>
    <w:rsid w:val="5EA04A59"/>
    <w:rsid w:val="5F6A7091"/>
    <w:rsid w:val="61123460"/>
    <w:rsid w:val="6295285E"/>
    <w:rsid w:val="63891483"/>
    <w:rsid w:val="64DA4701"/>
    <w:rsid w:val="65D730A1"/>
    <w:rsid w:val="68267E78"/>
    <w:rsid w:val="6879625F"/>
    <w:rsid w:val="68C649A5"/>
    <w:rsid w:val="68E875B2"/>
    <w:rsid w:val="691A6383"/>
    <w:rsid w:val="6991730A"/>
    <w:rsid w:val="6ACB40EB"/>
    <w:rsid w:val="6B8C2D63"/>
    <w:rsid w:val="6B994387"/>
    <w:rsid w:val="6D7E46BA"/>
    <w:rsid w:val="6DC93FEA"/>
    <w:rsid w:val="71487797"/>
    <w:rsid w:val="727C3BE6"/>
    <w:rsid w:val="72D92F7A"/>
    <w:rsid w:val="741E796D"/>
    <w:rsid w:val="742A7349"/>
    <w:rsid w:val="74630267"/>
    <w:rsid w:val="754824A3"/>
    <w:rsid w:val="758E68E9"/>
    <w:rsid w:val="77476661"/>
    <w:rsid w:val="77B40433"/>
    <w:rsid w:val="798844C4"/>
    <w:rsid w:val="7E2928E1"/>
    <w:rsid w:val="7F771A22"/>
    <w:rsid w:val="7F9E074A"/>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locked/>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autoRedefine/>
    <w:unhideWhenUsed/>
    <w:qFormat/>
    <w:uiPriority w:val="1"/>
  </w:style>
  <w:style w:type="table" w:default="1" w:styleId="8">
    <w:name w:val="Normal Table"/>
    <w:autoRedefine/>
    <w:unhideWhenUsed/>
    <w:qFormat/>
    <w:uiPriority w:val="99"/>
    <w:tblPr>
      <w:tblCellMar>
        <w:top w:w="0" w:type="dxa"/>
        <w:left w:w="108" w:type="dxa"/>
        <w:bottom w:w="0" w:type="dxa"/>
        <w:right w:w="108" w:type="dxa"/>
      </w:tblCellMar>
    </w:tblPr>
  </w:style>
  <w:style w:type="paragraph" w:styleId="3">
    <w:name w:val="table of authorities"/>
    <w:basedOn w:val="1"/>
    <w:next w:val="1"/>
    <w:autoRedefine/>
    <w:qFormat/>
    <w:uiPriority w:val="99"/>
    <w:pPr>
      <w:ind w:left="420" w:leftChars="200"/>
    </w:pPr>
  </w:style>
  <w:style w:type="paragraph" w:styleId="4">
    <w:name w:val="Body Text"/>
    <w:basedOn w:val="1"/>
    <w:autoRedefine/>
    <w:semiHidden/>
    <w:qFormat/>
    <w:uiPriority w:val="0"/>
    <w:rPr>
      <w:rFonts w:ascii="宋体" w:hAnsi="宋体" w:eastAsia="宋体" w:cs="宋体"/>
      <w:sz w:val="28"/>
      <w:szCs w:val="28"/>
      <w:lang w:val="en-US" w:eastAsia="en-US" w:bidi="ar-SA"/>
    </w:rPr>
  </w:style>
  <w:style w:type="paragraph" w:styleId="5">
    <w:name w:val="footer"/>
    <w:basedOn w:val="1"/>
    <w:next w:val="1"/>
    <w:link w:val="12"/>
    <w:autoRedefine/>
    <w:semiHidden/>
    <w:qFormat/>
    <w:uiPriority w:val="99"/>
    <w:pPr>
      <w:tabs>
        <w:tab w:val="center" w:pos="4153"/>
        <w:tab w:val="right" w:pos="8306"/>
      </w:tabs>
      <w:snapToGrid w:val="0"/>
      <w:jc w:val="left"/>
    </w:pPr>
    <w:rPr>
      <w:sz w:val="18"/>
      <w:szCs w:val="18"/>
    </w:rPr>
  </w:style>
  <w:style w:type="paragraph" w:styleId="6">
    <w:name w:val="header"/>
    <w:basedOn w:val="1"/>
    <w:link w:val="11"/>
    <w:autoRedefine/>
    <w:semiHidden/>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qFormat/>
    <w:uiPriority w:val="99"/>
    <w:pPr>
      <w:spacing w:beforeAutospacing="1" w:afterAutospacing="1"/>
      <w:jc w:val="left"/>
    </w:pPr>
    <w:rPr>
      <w:kern w:val="0"/>
      <w:sz w:val="24"/>
    </w:rPr>
  </w:style>
  <w:style w:type="character" w:styleId="10">
    <w:name w:val="page number"/>
    <w:basedOn w:val="9"/>
    <w:qFormat/>
    <w:uiPriority w:val="99"/>
    <w:rPr>
      <w:rFonts w:cs="Times New Roman"/>
    </w:rPr>
  </w:style>
  <w:style w:type="character" w:customStyle="1" w:styleId="11">
    <w:name w:val="页眉 Char"/>
    <w:basedOn w:val="9"/>
    <w:link w:val="6"/>
    <w:autoRedefine/>
    <w:semiHidden/>
    <w:qFormat/>
    <w:locked/>
    <w:uiPriority w:val="99"/>
    <w:rPr>
      <w:rFonts w:cs="Times New Roman"/>
      <w:sz w:val="18"/>
      <w:szCs w:val="18"/>
    </w:rPr>
  </w:style>
  <w:style w:type="character" w:customStyle="1" w:styleId="12">
    <w:name w:val="页脚 Char"/>
    <w:basedOn w:val="9"/>
    <w:link w:val="5"/>
    <w:autoRedefine/>
    <w:semiHidden/>
    <w:qFormat/>
    <w:locked/>
    <w:uiPriority w:val="99"/>
    <w:rPr>
      <w:rFonts w:cs="Times New Roman"/>
      <w:sz w:val="18"/>
      <w:szCs w:val="18"/>
    </w:rPr>
  </w:style>
  <w:style w:type="paragraph" w:customStyle="1" w:styleId="13">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7</Pages>
  <Words>2417</Words>
  <Characters>2513</Characters>
  <Lines>17</Lines>
  <Paragraphs>4</Paragraphs>
  <TotalTime>4</TotalTime>
  <ScaleCrop>false</ScaleCrop>
  <LinksUpToDate>false</LinksUpToDate>
  <CharactersWithSpaces>2558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2023-07-05T14:01:00Z</dcterms:created>
  <dc:creator>hp</dc:creator>
  <cp:lastModifiedBy>咚咚锵 </cp:lastModifiedBy>
  <cp:lastPrinted>2024-04-28T08:48:00Z</cp:lastPrinted>
  <dcterms:modified xsi:type="dcterms:W3CDTF">2024-07-03T07:29:45Z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3A19E240A71B4EE6B21B6FC2EAA2B024_13</vt:lpwstr>
  </property>
</Properties>
</file>